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rPr>
        <w:alias w:val="DDList"/>
        <w:tag w:val="DDList"/>
        <w:id w:val="4240380"/>
        <w:placeholder>
          <w:docPart w:val="D009FF18D63449F38EF834228DC3F6AB"/>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BA52B3" w:rsidRPr="0029006B" w:rsidRDefault="00946945" w:rsidP="0029006B">
          <w:pPr>
            <w:pStyle w:val="Title"/>
            <w:spacing w:after="120"/>
            <w:rPr>
              <w:rStyle w:val="SchoolName"/>
            </w:rPr>
          </w:pPr>
          <w:r>
            <w:rPr>
              <w:rStyle w:val="SchoolName"/>
            </w:rPr>
            <w:t>Cranleigh School</w:t>
          </w:r>
        </w:p>
      </w:sdtContent>
    </w:sdt>
    <w:p w:rsidR="00BA52B3" w:rsidRPr="005F3926" w:rsidRDefault="00BA52B3" w:rsidP="00BA52B3">
      <w:pPr>
        <w:pStyle w:val="Subtitle"/>
        <w:jc w:val="left"/>
      </w:pPr>
      <w:r w:rsidRPr="005F3926">
        <w:t xml:space="preserve">Network: </w:t>
      </w:r>
      <w:sdt>
        <w:sdtPr>
          <w:alias w:val="Network selection"/>
          <w:tag w:val="Network selection"/>
          <w:id w:val="1180695437"/>
          <w:placeholder>
            <w:docPart w:val="712BCF00AFE4403FA02BBDC801656C5D"/>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946945">
            <w:t>Belconnen</w:t>
          </w:r>
        </w:sdtContent>
      </w:sdt>
    </w:p>
    <w:p w:rsidR="00BA52B3" w:rsidRDefault="002A177D" w:rsidP="000A207B">
      <w:pPr>
        <w:pStyle w:val="Title"/>
      </w:pPr>
      <w:r>
        <w:t>Action</w:t>
      </w:r>
      <w:r w:rsidR="00BA52B3">
        <w:t xml:space="preserve"> </w:t>
      </w:r>
      <w:r w:rsidR="00BA52B3" w:rsidRPr="005F3926">
        <w:t xml:space="preserve">Plan </w:t>
      </w:r>
      <w:r w:rsidR="00BA52B3">
        <w:t>20</w:t>
      </w:r>
      <w:r w:rsidR="00946945">
        <w:t>19</w:t>
      </w:r>
    </w:p>
    <w:p w:rsidR="00460F6D" w:rsidRPr="00E140FA" w:rsidRDefault="00460F6D" w:rsidP="00BC589B">
      <w:pPr>
        <w:pStyle w:val="Heading1"/>
      </w:pPr>
      <w:r w:rsidRPr="00E140FA">
        <w:t>The purpose of this document</w:t>
      </w:r>
    </w:p>
    <w:p w:rsidR="000C1B4B" w:rsidRPr="00825280" w:rsidRDefault="000C1B4B" w:rsidP="00825280">
      <w:pPr>
        <w:pStyle w:val="BodyText"/>
      </w:pPr>
      <w:r w:rsidRPr="00825280">
        <w:t xml:space="preserve">This </w:t>
      </w:r>
      <w:r w:rsidR="0047385D" w:rsidRPr="00825280">
        <w:t xml:space="preserve">is a </w:t>
      </w:r>
      <w:r w:rsidR="0047385D" w:rsidRPr="00825280">
        <w:rPr>
          <w:i/>
          <w:u w:val="single"/>
        </w:rPr>
        <w:t xml:space="preserve">working </w:t>
      </w:r>
      <w:r w:rsidRPr="00825280">
        <w:rPr>
          <w:i/>
          <w:u w:val="single"/>
        </w:rPr>
        <w:t>document</w:t>
      </w:r>
      <w:r w:rsidRPr="00825280">
        <w:t xml:space="preserve"> </w:t>
      </w:r>
      <w:r w:rsidR="0047385D" w:rsidRPr="00825280">
        <w:t xml:space="preserve">and </w:t>
      </w:r>
      <w:r w:rsidRPr="00825280">
        <w:t>should be read in conjunction with, and flows dire</w:t>
      </w:r>
      <w:r w:rsidR="00235B19" w:rsidRPr="00825280">
        <w:t xml:space="preserve">ctly from, our </w:t>
      </w:r>
      <w:r w:rsidR="00825280">
        <w:t>School Improvement Plan</w:t>
      </w:r>
      <w:r w:rsidRPr="00825280">
        <w:t xml:space="preserve"> which articulates:</w:t>
      </w:r>
    </w:p>
    <w:p w:rsidR="000C1B4B" w:rsidRDefault="000C1B4B" w:rsidP="000A207B">
      <w:pPr>
        <w:pStyle w:val="DotPointLVL1"/>
      </w:pPr>
      <w:r>
        <w:t>a commitment to t</w:t>
      </w:r>
      <w:r w:rsidRPr="007E3C23">
        <w:t>he Education Directorate</w:t>
      </w:r>
      <w:r>
        <w:t>’s</w:t>
      </w:r>
      <w:r w:rsidRPr="007E3C23">
        <w:t xml:space="preserve"> </w:t>
      </w:r>
      <w:r w:rsidR="00A214B7">
        <w:t>three S</w:t>
      </w:r>
      <w:r>
        <w:t xml:space="preserve">trategic </w:t>
      </w:r>
      <w:r w:rsidR="00A214B7">
        <w:t>I</w:t>
      </w:r>
      <w:r w:rsidRPr="007E3C23">
        <w:t>ndicators for 2018-2021</w:t>
      </w:r>
    </w:p>
    <w:p w:rsidR="000C1B4B" w:rsidRPr="00825280" w:rsidRDefault="000C1B4B" w:rsidP="000A207B">
      <w:pPr>
        <w:pStyle w:val="DotPointLVL2"/>
      </w:pPr>
      <w:r w:rsidRPr="00825280">
        <w:t>To promote greater equity in learning outcomes in and across ACT public schools</w:t>
      </w:r>
    </w:p>
    <w:p w:rsidR="000C1B4B" w:rsidRPr="00825280" w:rsidRDefault="000C1B4B" w:rsidP="000A207B">
      <w:pPr>
        <w:pStyle w:val="DotPointLVL2"/>
      </w:pPr>
      <w:r w:rsidRPr="00825280">
        <w:t>To facilitate high quality teaching in ACT public schools and strengthen educational outcomes</w:t>
      </w:r>
    </w:p>
    <w:p w:rsidR="000C1B4B" w:rsidRPr="00825280" w:rsidRDefault="000C1B4B" w:rsidP="000A207B">
      <w:pPr>
        <w:pStyle w:val="DotPointLVL2"/>
      </w:pPr>
      <w:r w:rsidRPr="00825280">
        <w:t>To centre teaching and learning around students as individuals</w:t>
      </w:r>
    </w:p>
    <w:p w:rsidR="000C1B4B" w:rsidRDefault="003C346B" w:rsidP="000A207B">
      <w:pPr>
        <w:pStyle w:val="DotPointLVL1"/>
      </w:pPr>
      <w:r>
        <w:t xml:space="preserve">our </w:t>
      </w:r>
      <w:r w:rsidR="000C1B4B">
        <w:t>priorities, as informed by the Directorate</w:t>
      </w:r>
      <w:r w:rsidR="00A214B7">
        <w:t>’</w:t>
      </w:r>
      <w:r w:rsidR="000C1B4B">
        <w:t xml:space="preserve">s Strategic Indicators, School Review findings and analysis of multiple sources of </w:t>
      </w:r>
      <w:r w:rsidR="00217CF8">
        <w:t>evidence</w:t>
      </w:r>
      <w:r w:rsidR="0080461F">
        <w:t xml:space="preserve"> are:</w:t>
      </w:r>
    </w:p>
    <w:p w:rsidR="00C301CB" w:rsidRPr="00241A3C" w:rsidRDefault="00C301CB" w:rsidP="00F678BF">
      <w:pPr>
        <w:pStyle w:val="DotPointLVL2"/>
        <w:ind w:left="714" w:hanging="357"/>
        <w:rPr>
          <w:i w:val="0"/>
        </w:rPr>
      </w:pPr>
      <w:bookmarkStart w:id="0" w:name="_Hlk342003"/>
      <w:r w:rsidRPr="00241A3C">
        <w:rPr>
          <w:i w:val="0"/>
        </w:rPr>
        <w:t xml:space="preserve">Explicit improvement agenda with a sharp focus on improvement in measurable student learning outcomes </w:t>
      </w:r>
    </w:p>
    <w:bookmarkEnd w:id="0"/>
    <w:p w:rsidR="00C301CB" w:rsidRPr="00241A3C" w:rsidRDefault="00C301CB" w:rsidP="00F678BF">
      <w:pPr>
        <w:pStyle w:val="DotPointLVL2"/>
        <w:ind w:left="714" w:hanging="357"/>
        <w:rPr>
          <w:i w:val="0"/>
        </w:rPr>
      </w:pPr>
      <w:r w:rsidRPr="00241A3C">
        <w:rPr>
          <w:i w:val="0"/>
        </w:rPr>
        <w:t>High performing teachers will deliver effective pedagogy based on research, data and mutually beneficial partnerships</w:t>
      </w:r>
      <w:r w:rsidR="001D627F">
        <w:rPr>
          <w:i w:val="0"/>
        </w:rPr>
        <w:t>.</w:t>
      </w:r>
    </w:p>
    <w:p w:rsidR="00C301CB" w:rsidRDefault="00C301CB" w:rsidP="00C301CB">
      <w:pPr>
        <w:spacing w:line="240" w:lineRule="auto"/>
      </w:pPr>
    </w:p>
    <w:p w:rsidR="000C1B4B" w:rsidRDefault="00217CF8" w:rsidP="000A207B">
      <w:pPr>
        <w:pStyle w:val="BodyText"/>
      </w:pPr>
      <w:r>
        <w:t>This Action Plan (A</w:t>
      </w:r>
      <w:r w:rsidR="000C1B4B">
        <w:t xml:space="preserve">P) translates the actions to be taken in the current year of our </w:t>
      </w:r>
      <w:r w:rsidR="00F129F8">
        <w:t>five-year</w:t>
      </w:r>
      <w:r w:rsidR="000C1B4B">
        <w:t xml:space="preserve"> school improvement cycle, continuing the emphasis on:</w:t>
      </w:r>
    </w:p>
    <w:p w:rsidR="000C1B4B" w:rsidRDefault="000C1B4B" w:rsidP="000A207B">
      <w:pPr>
        <w:pStyle w:val="DotPointLVL1"/>
      </w:pPr>
      <w:r>
        <w:t>improving student outcomes</w:t>
      </w:r>
    </w:p>
    <w:p w:rsidR="000C1B4B" w:rsidRDefault="000C1B4B" w:rsidP="000A207B">
      <w:pPr>
        <w:pStyle w:val="DotPointLVL1"/>
      </w:pPr>
      <w:r>
        <w:t>monitoring and implementation of an inquiry approach to action scho</w:t>
      </w:r>
      <w:r w:rsidRPr="006E3C0D">
        <w:t xml:space="preserve">ol </w:t>
      </w:r>
      <w:r w:rsidR="00217CF8" w:rsidRPr="006E3C0D">
        <w:t>improvement</w:t>
      </w:r>
    </w:p>
    <w:p w:rsidR="000C1B4B" w:rsidRDefault="000C1B4B" w:rsidP="000A207B">
      <w:pPr>
        <w:pStyle w:val="DotPointLVL1"/>
      </w:pPr>
      <w:r>
        <w:t>monitoring and inquiry to inform daily teaching</w:t>
      </w:r>
    </w:p>
    <w:p w:rsidR="00AF3B67" w:rsidRDefault="00AF3B67" w:rsidP="000A207B">
      <w:pPr>
        <w:pStyle w:val="DotPointLVL1"/>
      </w:pPr>
      <w:r>
        <w:t xml:space="preserve">identification and mitigation of risks to the delivery of our five-year </w:t>
      </w:r>
      <w:r w:rsidR="00EE3B84">
        <w:t>S</w:t>
      </w:r>
      <w:r>
        <w:t xml:space="preserve">chool </w:t>
      </w:r>
      <w:r w:rsidR="00EE3B84">
        <w:t>I</w:t>
      </w:r>
      <w:r>
        <w:t xml:space="preserve">mprovement </w:t>
      </w:r>
      <w:r w:rsidR="00EE3B84">
        <w:t>P</w:t>
      </w:r>
      <w:r>
        <w:t>lan.</w:t>
      </w:r>
    </w:p>
    <w:p w:rsidR="00141602" w:rsidRDefault="00757C87" w:rsidP="00D22B30">
      <w:pPr>
        <w:pStyle w:val="Heading1"/>
      </w:pPr>
      <w:r>
        <w:t>Changes affect</w:t>
      </w:r>
      <w:r w:rsidRPr="006E3C0D">
        <w:t xml:space="preserve">ing </w:t>
      </w:r>
      <w:r w:rsidR="00217CF8" w:rsidRPr="006E3C0D">
        <w:t xml:space="preserve">our school’s </w:t>
      </w:r>
      <w:r w:rsidRPr="006E3C0D">
        <w:t>a</w:t>
      </w:r>
      <w:r>
        <w:t>nnual planning</w:t>
      </w:r>
    </w:p>
    <w:p w:rsidR="003B674C" w:rsidRDefault="003B674C" w:rsidP="003B674C">
      <w:pPr>
        <w:pStyle w:val="DotPointLVL1"/>
      </w:pPr>
      <w:r>
        <w:t>Developing an ongoing system of collecting and monitoring student progress has continued to be challenging in a specialist school context. Finding appropriate assessment tools that are relevant and accessible to the broad range of student abilities has been difficult. There are no standardised assessment tools particularly for students with moderate to severe intellectual disabilities. The tool chosen (Ability Based Learning and Education Support – ABLES) has implementation and data analysis issues. There needs be a high level of consistency in staff completing the ABLES assessment within and across years and the data that is generated is not easily aggregated to give whole of class or whole of school results. Data collected to date cannot be compared to previous years on a reliable basis.</w:t>
      </w:r>
    </w:p>
    <w:p w:rsidR="00F10AAC" w:rsidRDefault="00F10AAC" w:rsidP="009E0943">
      <w:pPr>
        <w:pStyle w:val="DotPointLVL1"/>
        <w:numPr>
          <w:ilvl w:val="0"/>
          <w:numId w:val="0"/>
        </w:numPr>
        <w:ind w:left="720"/>
      </w:pPr>
    </w:p>
    <w:p w:rsidR="00F10AAC" w:rsidRDefault="00F10AAC" w:rsidP="001D627F">
      <w:pPr>
        <w:pStyle w:val="DotPointLVL1"/>
      </w:pPr>
      <w:r>
        <w:lastRenderedPageBreak/>
        <w:t xml:space="preserve">The introduction and planning phase of PBL will commence in 2019. With the introduction of </w:t>
      </w:r>
      <w:r w:rsidR="007D0237">
        <w:t xml:space="preserve">Sentral (SAS) </w:t>
      </w:r>
      <w:r w:rsidR="00D4326D">
        <w:t>to report</w:t>
      </w:r>
      <w:r>
        <w:t xml:space="preserve"> negative and positive behaviours and a whole staff awareness of NuEd Trauma informed practises, it has highlighted a need for Cranleigh school to move in to the next phase of positive behaviour support for students that aligns to our CORE values.</w:t>
      </w:r>
    </w:p>
    <w:p w:rsidR="006023F3" w:rsidRDefault="003B674C" w:rsidP="006023F3">
      <w:pPr>
        <w:pStyle w:val="DotPointLVL1"/>
      </w:pPr>
      <w:r>
        <w:t xml:space="preserve">Staff well-being has been impacted on in </w:t>
      </w:r>
      <w:r w:rsidR="00BD1AE9">
        <w:t>2018 particularly</w:t>
      </w:r>
      <w:r>
        <w:t xml:space="preserve"> by difficult situations within the school with respect to student behaviour</w:t>
      </w:r>
      <w:r w:rsidR="00BD1AE9">
        <w:t xml:space="preserve"> and the new Senior Practitioner legislation. </w:t>
      </w:r>
      <w:r>
        <w:t xml:space="preserve">The higher focus on </w:t>
      </w:r>
      <w:r w:rsidR="00BD1AE9">
        <w:t>Occupational Violence</w:t>
      </w:r>
      <w:r>
        <w:t xml:space="preserve"> across the Directorate has been highly supportive to the school and the staff, however it has also highlighted </w:t>
      </w:r>
      <w:r w:rsidR="00BD1AE9">
        <w:t>some</w:t>
      </w:r>
      <w:r>
        <w:t xml:space="preserve"> issues within th</w:t>
      </w:r>
      <w:r w:rsidR="00BD1AE9">
        <w:t>e</w:t>
      </w:r>
      <w:r>
        <w:t xml:space="preserve"> school</w:t>
      </w:r>
      <w:r w:rsidR="00BD1AE9">
        <w:t xml:space="preserve">, particularly around some de-escalation spaces and courtyards. </w:t>
      </w:r>
    </w:p>
    <w:p w:rsidR="00BD1AE9" w:rsidRDefault="00BD1AE9" w:rsidP="00BD1AE9">
      <w:pPr>
        <w:pStyle w:val="DotPointLVL1"/>
      </w:pPr>
      <w:r>
        <w:t xml:space="preserve">Staff Wellbeing, Team Teach Refreshers, Resilience Training and continued </w:t>
      </w:r>
      <w:r w:rsidR="006023F3">
        <w:t>consultation and support from the C</w:t>
      </w:r>
      <w:r w:rsidR="00325F62">
        <w:t>omplex</w:t>
      </w:r>
      <w:r w:rsidR="006023F3">
        <w:t xml:space="preserve"> Response Team will be a major priority for 2019</w:t>
      </w:r>
      <w:r w:rsidR="001D627F">
        <w:t>.</w:t>
      </w:r>
      <w:r w:rsidR="006023F3">
        <w:t xml:space="preserve">  </w:t>
      </w:r>
    </w:p>
    <w:p w:rsidR="00BD1AE9" w:rsidRDefault="00BD1AE9" w:rsidP="006023F3">
      <w:pPr>
        <w:pStyle w:val="DotPointLVL1"/>
        <w:numPr>
          <w:ilvl w:val="0"/>
          <w:numId w:val="0"/>
        </w:numPr>
        <w:ind w:left="720"/>
      </w:pPr>
    </w:p>
    <w:p w:rsidR="003B674C" w:rsidRPr="002728BA" w:rsidRDefault="003B674C" w:rsidP="003B674C">
      <w:pPr>
        <w:pStyle w:val="Heading1"/>
      </w:pPr>
      <w:r>
        <w:t>Ou</w:t>
      </w:r>
      <w:r w:rsidRPr="006E3C0D">
        <w:t>r school’s ap</w:t>
      </w:r>
      <w:r>
        <w:t>proach to inquiry and professional learning communities</w:t>
      </w:r>
    </w:p>
    <w:p w:rsidR="003B674C" w:rsidRDefault="003B674C" w:rsidP="003B674C">
      <w:pPr>
        <w:pStyle w:val="BodyText"/>
        <w:rPr>
          <w:rFonts w:eastAsiaTheme="majorEastAsia" w:cstheme="minorHAnsi"/>
        </w:rPr>
      </w:pPr>
      <w:r>
        <w:rPr>
          <w:rFonts w:eastAsiaTheme="majorEastAsia" w:cstheme="minorHAnsi"/>
        </w:rPr>
        <w:t xml:space="preserve">Professional Learning Communities (PLCs) are in place around the strategic plan priorities of: Assessment and </w:t>
      </w:r>
      <w:r w:rsidR="006023F3">
        <w:rPr>
          <w:rFonts w:eastAsiaTheme="majorEastAsia" w:cstheme="minorHAnsi"/>
        </w:rPr>
        <w:t xml:space="preserve">Data, Communication and Literacy. </w:t>
      </w:r>
      <w:r>
        <w:rPr>
          <w:rFonts w:eastAsiaTheme="majorEastAsia" w:cstheme="minorHAnsi"/>
        </w:rPr>
        <w:t>Each of these groups meets on a regular basis throughout each term</w:t>
      </w:r>
      <w:r w:rsidR="006023F3">
        <w:rPr>
          <w:rFonts w:eastAsiaTheme="majorEastAsia" w:cstheme="minorHAnsi"/>
        </w:rPr>
        <w:t xml:space="preserve"> and in 2018, they developed frameworks and handbooks</w:t>
      </w:r>
      <w:r>
        <w:rPr>
          <w:rFonts w:eastAsiaTheme="majorEastAsia" w:cstheme="minorHAnsi"/>
        </w:rPr>
        <w:t xml:space="preserve">. These </w:t>
      </w:r>
      <w:r w:rsidRPr="00E02881">
        <w:rPr>
          <w:rFonts w:eastAsiaTheme="majorEastAsia" w:cstheme="minorHAnsi"/>
        </w:rPr>
        <w:t xml:space="preserve">groups of </w:t>
      </w:r>
      <w:r w:rsidR="00714AD6" w:rsidRPr="00E02881">
        <w:rPr>
          <w:rFonts w:eastAsiaTheme="majorEastAsia" w:cstheme="minorHAnsi"/>
        </w:rPr>
        <w:t xml:space="preserve">teachers </w:t>
      </w:r>
      <w:r w:rsidR="00714AD6">
        <w:rPr>
          <w:rFonts w:eastAsiaTheme="majorEastAsia" w:cstheme="minorHAnsi"/>
        </w:rPr>
        <w:t>and</w:t>
      </w:r>
      <w:r w:rsidR="006023F3">
        <w:rPr>
          <w:rFonts w:eastAsiaTheme="majorEastAsia" w:cstheme="minorHAnsi"/>
        </w:rPr>
        <w:t xml:space="preserve"> some LSAs </w:t>
      </w:r>
      <w:r w:rsidRPr="00E02881">
        <w:rPr>
          <w:rFonts w:eastAsiaTheme="majorEastAsia" w:cstheme="minorHAnsi"/>
        </w:rPr>
        <w:t xml:space="preserve">work collaboratively at the school level </w:t>
      </w:r>
      <w:r>
        <w:rPr>
          <w:rFonts w:eastAsiaTheme="majorEastAsia" w:cstheme="minorHAnsi"/>
        </w:rPr>
        <w:t xml:space="preserve">with the direct focus on </w:t>
      </w:r>
      <w:r w:rsidRPr="00E02881">
        <w:rPr>
          <w:rFonts w:eastAsiaTheme="majorEastAsia" w:cstheme="minorHAnsi"/>
        </w:rPr>
        <w:t>improv</w:t>
      </w:r>
      <w:r>
        <w:rPr>
          <w:rFonts w:eastAsiaTheme="majorEastAsia" w:cstheme="minorHAnsi"/>
        </w:rPr>
        <w:t>ing</w:t>
      </w:r>
      <w:r w:rsidRPr="00E02881">
        <w:rPr>
          <w:rFonts w:eastAsiaTheme="majorEastAsia" w:cstheme="minorHAnsi"/>
        </w:rPr>
        <w:t xml:space="preserve"> student outcomes</w:t>
      </w:r>
      <w:r>
        <w:rPr>
          <w:rFonts w:eastAsiaTheme="majorEastAsia" w:cstheme="minorHAnsi"/>
        </w:rPr>
        <w:t>.</w:t>
      </w:r>
    </w:p>
    <w:p w:rsidR="003B674C" w:rsidRDefault="006023F3" w:rsidP="003B674C">
      <w:pPr>
        <w:pStyle w:val="BodyText"/>
        <w:rPr>
          <w:rFonts w:eastAsiaTheme="majorEastAsia" w:cstheme="minorHAnsi"/>
        </w:rPr>
      </w:pPr>
      <w:r>
        <w:rPr>
          <w:rFonts w:eastAsiaTheme="majorEastAsia" w:cstheme="minorHAnsi"/>
        </w:rPr>
        <w:t xml:space="preserve">The </w:t>
      </w:r>
      <w:r w:rsidR="00714AD6">
        <w:rPr>
          <w:rFonts w:eastAsiaTheme="majorEastAsia" w:cstheme="minorHAnsi"/>
        </w:rPr>
        <w:t>Australian</w:t>
      </w:r>
      <w:r>
        <w:rPr>
          <w:rFonts w:eastAsiaTheme="majorEastAsia" w:cstheme="minorHAnsi"/>
        </w:rPr>
        <w:t xml:space="preserve"> Curriculum is fully </w:t>
      </w:r>
      <w:r w:rsidR="00714AD6">
        <w:rPr>
          <w:rFonts w:eastAsiaTheme="majorEastAsia" w:cstheme="minorHAnsi"/>
        </w:rPr>
        <w:t>developed</w:t>
      </w:r>
      <w:r>
        <w:rPr>
          <w:rFonts w:eastAsiaTheme="majorEastAsia" w:cstheme="minorHAnsi"/>
        </w:rPr>
        <w:t xml:space="preserve"> and embedded at </w:t>
      </w:r>
      <w:r w:rsidR="00714AD6">
        <w:rPr>
          <w:rFonts w:eastAsiaTheme="majorEastAsia" w:cstheme="minorHAnsi"/>
        </w:rPr>
        <w:t>Cranleigh</w:t>
      </w:r>
      <w:r>
        <w:rPr>
          <w:rFonts w:eastAsiaTheme="majorEastAsia" w:cstheme="minorHAnsi"/>
        </w:rPr>
        <w:t xml:space="preserve"> with a detailed Scope and </w:t>
      </w:r>
      <w:r w:rsidR="00714AD6">
        <w:rPr>
          <w:rFonts w:eastAsiaTheme="majorEastAsia" w:cstheme="minorHAnsi"/>
        </w:rPr>
        <w:t xml:space="preserve">Sequence. Programming templates, </w:t>
      </w:r>
      <w:proofErr w:type="gramStart"/>
      <w:r w:rsidR="00714AD6">
        <w:rPr>
          <w:rFonts w:eastAsiaTheme="majorEastAsia" w:cstheme="minorHAnsi"/>
        </w:rPr>
        <w:t>Reporting</w:t>
      </w:r>
      <w:proofErr w:type="gramEnd"/>
      <w:r w:rsidR="00714AD6">
        <w:rPr>
          <w:rFonts w:eastAsiaTheme="majorEastAsia" w:cstheme="minorHAnsi"/>
        </w:rPr>
        <w:t xml:space="preserve"> </w:t>
      </w:r>
      <w:r w:rsidR="002D3841">
        <w:rPr>
          <w:rFonts w:eastAsiaTheme="majorEastAsia" w:cstheme="minorHAnsi"/>
        </w:rPr>
        <w:t>t</w:t>
      </w:r>
      <w:r w:rsidR="00714AD6">
        <w:rPr>
          <w:rFonts w:eastAsiaTheme="majorEastAsia" w:cstheme="minorHAnsi"/>
        </w:rPr>
        <w:t>emplates and ILP reports are all aligned</w:t>
      </w:r>
      <w:r w:rsidR="00325F62">
        <w:rPr>
          <w:rFonts w:eastAsiaTheme="majorEastAsia" w:cstheme="minorHAnsi"/>
        </w:rPr>
        <w:t xml:space="preserve"> to each other although not </w:t>
      </w:r>
      <w:r w:rsidR="007D0237">
        <w:rPr>
          <w:rFonts w:eastAsiaTheme="majorEastAsia" w:cstheme="minorHAnsi"/>
        </w:rPr>
        <w:t>Sentral compatible at this stage.</w:t>
      </w:r>
      <w:r w:rsidR="00714AD6">
        <w:rPr>
          <w:rFonts w:eastAsiaTheme="majorEastAsia" w:cstheme="minorHAnsi"/>
        </w:rPr>
        <w:t xml:space="preserve"> </w:t>
      </w:r>
    </w:p>
    <w:p w:rsidR="00714AD6" w:rsidRDefault="00714AD6" w:rsidP="003B674C">
      <w:pPr>
        <w:pStyle w:val="BodyText"/>
        <w:rPr>
          <w:rFonts w:eastAsiaTheme="majorEastAsia" w:cstheme="minorHAnsi"/>
        </w:rPr>
      </w:pPr>
      <w:r>
        <w:rPr>
          <w:rFonts w:eastAsiaTheme="majorEastAsia" w:cstheme="minorHAnsi"/>
        </w:rPr>
        <w:t>A total communication environment with all staff using and modelling PODD has been established to enable and enhance student voice. Professional Learning around this robust an</w:t>
      </w:r>
      <w:r w:rsidR="00325F62">
        <w:rPr>
          <w:rFonts w:eastAsiaTheme="majorEastAsia" w:cstheme="minorHAnsi"/>
        </w:rPr>
        <w:t>d</w:t>
      </w:r>
      <w:r>
        <w:rPr>
          <w:rFonts w:eastAsiaTheme="majorEastAsia" w:cstheme="minorHAnsi"/>
        </w:rPr>
        <w:t xml:space="preserve"> highly effective communication system was hel</w:t>
      </w:r>
      <w:r w:rsidR="00E1724D">
        <w:rPr>
          <w:rFonts w:eastAsiaTheme="majorEastAsia" w:cstheme="minorHAnsi"/>
        </w:rPr>
        <w:t xml:space="preserve">d in Week 0, </w:t>
      </w:r>
      <w:r>
        <w:rPr>
          <w:rFonts w:eastAsiaTheme="majorEastAsia" w:cstheme="minorHAnsi"/>
        </w:rPr>
        <w:t xml:space="preserve">presented by Haylee Parfitt (Speech </w:t>
      </w:r>
      <w:r w:rsidR="00E1724D">
        <w:rPr>
          <w:rFonts w:eastAsiaTheme="majorEastAsia" w:cstheme="minorHAnsi"/>
        </w:rPr>
        <w:t>Pathologist</w:t>
      </w:r>
      <w:r>
        <w:rPr>
          <w:rFonts w:eastAsiaTheme="majorEastAsia" w:cstheme="minorHAnsi"/>
        </w:rPr>
        <w:t xml:space="preserve">). This </w:t>
      </w:r>
      <w:r w:rsidR="00E1724D">
        <w:rPr>
          <w:rFonts w:eastAsiaTheme="majorEastAsia" w:cstheme="minorHAnsi"/>
        </w:rPr>
        <w:t>contemporary</w:t>
      </w:r>
      <w:r>
        <w:rPr>
          <w:rFonts w:eastAsiaTheme="majorEastAsia" w:cstheme="minorHAnsi"/>
        </w:rPr>
        <w:t xml:space="preserve">, evidence </w:t>
      </w:r>
      <w:r w:rsidR="00E1724D">
        <w:rPr>
          <w:rFonts w:eastAsiaTheme="majorEastAsia" w:cstheme="minorHAnsi"/>
        </w:rPr>
        <w:t>based,</w:t>
      </w:r>
      <w:r>
        <w:rPr>
          <w:rFonts w:eastAsiaTheme="majorEastAsia" w:cstheme="minorHAnsi"/>
        </w:rPr>
        <w:t xml:space="preserve"> </w:t>
      </w:r>
      <w:r w:rsidR="00E1724D">
        <w:rPr>
          <w:rFonts w:eastAsiaTheme="majorEastAsia" w:cstheme="minorHAnsi"/>
        </w:rPr>
        <w:t>and</w:t>
      </w:r>
      <w:r>
        <w:rPr>
          <w:rFonts w:eastAsiaTheme="majorEastAsia" w:cstheme="minorHAnsi"/>
        </w:rPr>
        <w:t xml:space="preserve"> highly effective communication system</w:t>
      </w:r>
      <w:r w:rsidR="00E1724D">
        <w:rPr>
          <w:rFonts w:eastAsiaTheme="majorEastAsia" w:cstheme="minorHAnsi"/>
        </w:rPr>
        <w:t xml:space="preserve"> has already had great traction with staff and students. </w:t>
      </w:r>
    </w:p>
    <w:p w:rsidR="00F22811" w:rsidRDefault="00F22811">
      <w:pPr>
        <w:rPr>
          <w:rFonts w:ascii="Arial" w:eastAsiaTheme="majorEastAsia" w:hAnsi="Arial" w:cs="Arial"/>
          <w:color w:val="1F4E79" w:themeColor="accent1" w:themeShade="80"/>
          <w:sz w:val="28"/>
          <w:szCs w:val="32"/>
        </w:rPr>
        <w:sectPr w:rsidR="00F22811" w:rsidSect="00F228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0C1B4B" w:rsidRPr="00DD4E6B" w:rsidRDefault="00882120" w:rsidP="000F0410">
      <w:pPr>
        <w:pStyle w:val="Heading1"/>
      </w:pPr>
      <w:r>
        <w:lastRenderedPageBreak/>
        <w:t>S</w:t>
      </w:r>
      <w:r w:rsidR="000C1B4B" w:rsidRPr="00DD4E6B">
        <w:t>trategies and actions</w:t>
      </w:r>
    </w:p>
    <w:p w:rsidR="00E1724D" w:rsidRPr="00E1724D" w:rsidRDefault="000F0410" w:rsidP="00E1724D">
      <w:pPr>
        <w:pStyle w:val="Heading2"/>
        <w:numPr>
          <w:ilvl w:val="1"/>
          <w:numId w:val="1"/>
        </w:numPr>
        <w:ind w:left="0" w:firstLine="0"/>
      </w:pPr>
      <w:r w:rsidRPr="000F0410">
        <w:t>Priority 1:</w:t>
      </w:r>
      <w:r w:rsidRPr="00E1724D">
        <w:tab/>
      </w:r>
      <w:r w:rsidR="00E1724D" w:rsidRPr="00E1724D">
        <w:rPr>
          <w:color w:val="auto"/>
        </w:rPr>
        <w:t xml:space="preserve">Explicit improvement agenda with a sharp focus on improvement in measurable student learning outcomes </w:t>
      </w:r>
    </w:p>
    <w:p w:rsidR="00733CE5" w:rsidRPr="00733CE5" w:rsidRDefault="00733CE5" w:rsidP="00733CE5">
      <w:pPr>
        <w:pStyle w:val="BodyText"/>
        <w:rPr>
          <w:lang w:eastAsia="en-US" w:bidi="ar-SA"/>
        </w:rPr>
      </w:pPr>
    </w:p>
    <w:p w:rsidR="000C1B4B" w:rsidRDefault="00882120" w:rsidP="00BC589B">
      <w:pPr>
        <w:pStyle w:val="Heading3"/>
      </w:pPr>
      <w:r>
        <w:t>Strategies</w:t>
      </w:r>
    </w:p>
    <w:p w:rsidR="000C1B4B" w:rsidRDefault="00241A3C" w:rsidP="000F0410">
      <w:pPr>
        <w:pStyle w:val="NumberedList"/>
      </w:pPr>
      <w:r>
        <w:t>Embed the Australian Curriculum for all students</w:t>
      </w:r>
    </w:p>
    <w:p w:rsidR="00241A3C" w:rsidRPr="000F0410" w:rsidRDefault="00241A3C" w:rsidP="000F0410">
      <w:pPr>
        <w:pStyle w:val="NumberedList"/>
      </w:pPr>
      <w:r>
        <w:t>Develop and document a school data collection strategy linked to the school vison (CORE Values), purpose and the Australian Curriculum</w:t>
      </w:r>
    </w:p>
    <w:p w:rsidR="00460F6D" w:rsidRDefault="00241A3C" w:rsidP="000F0410">
      <w:pPr>
        <w:pStyle w:val="NumberedList"/>
      </w:pPr>
      <w:r>
        <w:t>Develop partnerships with community and families to assist with the implementation of the Australian Curriculum</w:t>
      </w:r>
    </w:p>
    <w:p w:rsidR="00241A3C" w:rsidRPr="000F0410" w:rsidRDefault="00241A3C" w:rsidP="000F0410">
      <w:pPr>
        <w:pStyle w:val="NumberedList"/>
      </w:pPr>
      <w:r>
        <w:t>Update the Cranleigh school environment to ensure staff and students are accessing 21</w:t>
      </w:r>
      <w:r w:rsidRPr="00241A3C">
        <w:rPr>
          <w:vertAlign w:val="superscript"/>
        </w:rPr>
        <w:t>st</w:t>
      </w:r>
      <w:r>
        <w:t xml:space="preserve"> century learning spaces and technologies</w:t>
      </w:r>
    </w:p>
    <w:p w:rsidR="00966686" w:rsidRDefault="008E63DF" w:rsidP="00BC589B">
      <w:pPr>
        <w:pStyle w:val="Heading3"/>
      </w:pPr>
      <w:r>
        <w:t>Actions</w:t>
      </w:r>
    </w:p>
    <w:tbl>
      <w:tblPr>
        <w:tblStyle w:val="TableGrid"/>
        <w:tblW w:w="14096" w:type="dxa"/>
        <w:jc w:val="center"/>
        <w:tblCellMar>
          <w:top w:w="57" w:type="dxa"/>
          <w:left w:w="57" w:type="dxa"/>
          <w:bottom w:w="57" w:type="dxa"/>
          <w:right w:w="57" w:type="dxa"/>
        </w:tblCellMar>
        <w:tblLook w:val="04A0" w:firstRow="1" w:lastRow="0" w:firstColumn="1" w:lastColumn="0" w:noHBand="0" w:noVBand="1"/>
      </w:tblPr>
      <w:tblGrid>
        <w:gridCol w:w="3524"/>
        <w:gridCol w:w="3524"/>
        <w:gridCol w:w="3524"/>
        <w:gridCol w:w="3524"/>
      </w:tblGrid>
      <w:tr w:rsidR="0047385D" w:rsidTr="004B386E">
        <w:trPr>
          <w:tblHeader/>
          <w:jc w:val="center"/>
        </w:trPr>
        <w:tc>
          <w:tcPr>
            <w:tcW w:w="3524" w:type="dxa"/>
            <w:shd w:val="clear" w:color="auto" w:fill="00AEEF"/>
          </w:tcPr>
          <w:p w:rsidR="0047385D" w:rsidRPr="00882120" w:rsidRDefault="0047385D" w:rsidP="001904EF">
            <w:pPr>
              <w:pStyle w:val="TableColumnHeaderLeft"/>
            </w:pPr>
            <w:r w:rsidRPr="00882120">
              <w:t xml:space="preserve">What </w:t>
            </w:r>
            <w:r w:rsidRPr="00882120">
              <w:rPr>
                <w:b/>
                <w:i/>
                <w:u w:val="single"/>
              </w:rPr>
              <w:t>resources</w:t>
            </w:r>
            <w:r w:rsidRPr="00882120">
              <w:t xml:space="preserve"> are needed?</w:t>
            </w:r>
          </w:p>
        </w:tc>
        <w:tc>
          <w:tcPr>
            <w:tcW w:w="3524" w:type="dxa"/>
            <w:shd w:val="clear" w:color="auto" w:fill="00AEEF"/>
          </w:tcPr>
          <w:p w:rsidR="0047385D" w:rsidRPr="00882120" w:rsidRDefault="0047385D" w:rsidP="001904EF">
            <w:pPr>
              <w:pStyle w:val="TableColumnHeaderLeft"/>
            </w:pPr>
            <w:r w:rsidRPr="00882120">
              <w:t xml:space="preserve">Who will </w:t>
            </w:r>
            <w:r w:rsidRPr="00882120">
              <w:rPr>
                <w:b/>
                <w:i/>
                <w:u w:val="single"/>
              </w:rPr>
              <w:t>lead</w:t>
            </w:r>
            <w:r w:rsidRPr="00882120">
              <w:t xml:space="preserve"> this action?</w:t>
            </w:r>
          </w:p>
        </w:tc>
        <w:tc>
          <w:tcPr>
            <w:tcW w:w="3524" w:type="dxa"/>
            <w:shd w:val="clear" w:color="auto" w:fill="00AEEF"/>
          </w:tcPr>
          <w:p w:rsidR="0047385D" w:rsidRPr="00247B71" w:rsidRDefault="0047385D" w:rsidP="001904EF">
            <w:pPr>
              <w:pStyle w:val="TableColumnHeaderLeft"/>
            </w:pPr>
            <w:r>
              <w:t xml:space="preserve">What will be </w:t>
            </w:r>
            <w:r w:rsidRPr="002E73E5">
              <w:rPr>
                <w:b/>
                <w:i/>
                <w:u w:val="single"/>
              </w:rPr>
              <w:t>produced</w:t>
            </w:r>
            <w:r>
              <w:t xml:space="preserve"> to support this action?</w:t>
            </w:r>
          </w:p>
        </w:tc>
        <w:tc>
          <w:tcPr>
            <w:tcW w:w="3524" w:type="dxa"/>
            <w:shd w:val="clear" w:color="auto" w:fill="00AEEF"/>
          </w:tcPr>
          <w:p w:rsidR="0047385D" w:rsidRPr="002E73E5" w:rsidRDefault="0047385D" w:rsidP="001904EF">
            <w:pPr>
              <w:pStyle w:val="TableColumnHeaderLeft"/>
            </w:pPr>
            <w:r w:rsidRPr="002E73E5">
              <w:t xml:space="preserve">How will this action </w:t>
            </w:r>
            <w:r w:rsidRPr="002E73E5">
              <w:rPr>
                <w:b/>
                <w:i/>
                <w:u w:val="single"/>
              </w:rPr>
              <w:t>impact</w:t>
            </w:r>
            <w:r w:rsidRPr="002E73E5">
              <w:t xml:space="preserve"> on student learning?</w:t>
            </w:r>
          </w:p>
        </w:tc>
      </w:tr>
      <w:tr w:rsidR="006F350C" w:rsidTr="00162782">
        <w:trPr>
          <w:jc w:val="center"/>
        </w:trPr>
        <w:tc>
          <w:tcPr>
            <w:tcW w:w="14096" w:type="dxa"/>
            <w:gridSpan w:val="4"/>
            <w:shd w:val="clear" w:color="auto" w:fill="auto"/>
          </w:tcPr>
          <w:p w:rsidR="006F350C" w:rsidRPr="00882120" w:rsidRDefault="006F350C" w:rsidP="009371B7">
            <w:pPr>
              <w:pStyle w:val="TableBodyLeft"/>
              <w:rPr>
                <w:color w:val="808080" w:themeColor="background1" w:themeShade="80"/>
              </w:rPr>
            </w:pPr>
            <w:r w:rsidRPr="00194DF6">
              <w:rPr>
                <w:b/>
                <w:color w:val="000000" w:themeColor="text1"/>
              </w:rPr>
              <w:t>ACTION</w:t>
            </w:r>
            <w:r w:rsidRPr="006F350C">
              <w:rPr>
                <w:color w:val="000000" w:themeColor="text1"/>
              </w:rPr>
              <w:t>:</w:t>
            </w:r>
            <w:r w:rsidR="000F0410" w:rsidRPr="000F0410">
              <w:rPr>
                <w:color w:val="000000" w:themeColor="text1"/>
              </w:rPr>
              <w:t xml:space="preserve"> </w:t>
            </w:r>
            <w:r w:rsidR="00DB18B3">
              <w:rPr>
                <w:color w:val="000000" w:themeColor="text1"/>
              </w:rPr>
              <w:t xml:space="preserve">Develop mechanism (database) for </w:t>
            </w:r>
            <w:r w:rsidR="00DE1F0A">
              <w:rPr>
                <w:color w:val="000000" w:themeColor="text1"/>
              </w:rPr>
              <w:t>recording</w:t>
            </w:r>
            <w:r w:rsidR="00DB18B3">
              <w:rPr>
                <w:color w:val="000000" w:themeColor="text1"/>
              </w:rPr>
              <w:t xml:space="preserve"> results of </w:t>
            </w:r>
            <w:r w:rsidR="0088112B">
              <w:rPr>
                <w:color w:val="000000" w:themeColor="text1"/>
              </w:rPr>
              <w:t>student’s</w:t>
            </w:r>
            <w:r w:rsidR="00DB18B3">
              <w:rPr>
                <w:color w:val="000000" w:themeColor="text1"/>
              </w:rPr>
              <w:t xml:space="preserve"> </w:t>
            </w:r>
            <w:r w:rsidR="00DE1F0A">
              <w:rPr>
                <w:color w:val="000000" w:themeColor="text1"/>
              </w:rPr>
              <w:t>assessments</w:t>
            </w:r>
            <w:r w:rsidR="00DB18B3">
              <w:rPr>
                <w:color w:val="000000" w:themeColor="text1"/>
              </w:rPr>
              <w:t xml:space="preserve"> in key learning areas and ILP </w:t>
            </w:r>
            <w:r w:rsidR="00DE1F0A">
              <w:rPr>
                <w:color w:val="000000" w:themeColor="text1"/>
              </w:rPr>
              <w:t>achievement</w:t>
            </w:r>
            <w:r w:rsidR="002A71DD">
              <w:rPr>
                <w:color w:val="000000" w:themeColor="text1"/>
              </w:rPr>
              <w:t>s</w:t>
            </w:r>
            <w:r w:rsidR="00DE1F0A">
              <w:rPr>
                <w:color w:val="000000" w:themeColor="text1"/>
              </w:rPr>
              <w:t xml:space="preserve"> </w:t>
            </w:r>
          </w:p>
        </w:tc>
      </w:tr>
      <w:tr w:rsidR="0047385D" w:rsidTr="00162782">
        <w:trPr>
          <w:jc w:val="center"/>
        </w:trPr>
        <w:tc>
          <w:tcPr>
            <w:tcW w:w="3524" w:type="dxa"/>
            <w:shd w:val="clear" w:color="auto" w:fill="auto"/>
          </w:tcPr>
          <w:p w:rsidR="00F70E5D" w:rsidRDefault="00DE1F0A" w:rsidP="00B65F94">
            <w:pPr>
              <w:pStyle w:val="DotPointLVL1"/>
              <w:numPr>
                <w:ilvl w:val="0"/>
                <w:numId w:val="0"/>
              </w:numPr>
            </w:pPr>
            <w:r>
              <w:t>Time allocation</w:t>
            </w:r>
          </w:p>
          <w:p w:rsidR="00DE1F0A" w:rsidRDefault="00DE1F0A" w:rsidP="00B65F94">
            <w:pPr>
              <w:pStyle w:val="DotPointLVL1"/>
              <w:numPr>
                <w:ilvl w:val="0"/>
                <w:numId w:val="0"/>
              </w:numPr>
            </w:pPr>
            <w:r>
              <w:t xml:space="preserve">Database/spreadsheet </w:t>
            </w:r>
            <w:r w:rsidR="0088112B">
              <w:t>expertise</w:t>
            </w:r>
          </w:p>
          <w:p w:rsidR="00301550" w:rsidRDefault="00301550" w:rsidP="00B65F94">
            <w:pPr>
              <w:pStyle w:val="DotPointLVL1"/>
              <w:numPr>
                <w:ilvl w:val="0"/>
                <w:numId w:val="0"/>
              </w:numPr>
            </w:pPr>
            <w:r>
              <w:t>Mathematics PL (Week 0)</w:t>
            </w:r>
          </w:p>
          <w:p w:rsidR="00B65F94" w:rsidRDefault="00B65F94" w:rsidP="00B65F94">
            <w:pPr>
              <w:pStyle w:val="DotPointLVL1"/>
              <w:numPr>
                <w:ilvl w:val="0"/>
                <w:numId w:val="0"/>
              </w:numPr>
            </w:pPr>
          </w:p>
          <w:p w:rsidR="0088112B" w:rsidRPr="000F0410" w:rsidRDefault="0088112B" w:rsidP="00B65F94">
            <w:pPr>
              <w:pStyle w:val="DotPointLVL1"/>
              <w:numPr>
                <w:ilvl w:val="0"/>
                <w:numId w:val="0"/>
              </w:numPr>
            </w:pPr>
            <w:r>
              <w:t xml:space="preserve">Smart Goal/ILP </w:t>
            </w:r>
            <w:r w:rsidR="00D4326D">
              <w:t>PL (</w:t>
            </w:r>
            <w:r w:rsidR="00301550">
              <w:t>Week 3)</w:t>
            </w:r>
          </w:p>
        </w:tc>
        <w:tc>
          <w:tcPr>
            <w:tcW w:w="3524" w:type="dxa"/>
            <w:shd w:val="clear" w:color="auto" w:fill="auto"/>
          </w:tcPr>
          <w:p w:rsidR="00DE1F0A" w:rsidRDefault="00DE1F0A" w:rsidP="000F0410">
            <w:pPr>
              <w:pStyle w:val="TableBodyLeft"/>
            </w:pPr>
            <w:r>
              <w:t xml:space="preserve">Assessment and </w:t>
            </w:r>
            <w:r w:rsidR="0088112B">
              <w:t>Data</w:t>
            </w:r>
            <w:r>
              <w:t xml:space="preserve"> PLC and </w:t>
            </w:r>
            <w:r w:rsidR="0088112B">
              <w:t>Curriculum leader (DP- Cathy)</w:t>
            </w:r>
          </w:p>
          <w:p w:rsidR="0088112B" w:rsidRDefault="0088112B" w:rsidP="000F0410">
            <w:pPr>
              <w:pStyle w:val="TableBodyLeft"/>
            </w:pPr>
          </w:p>
          <w:p w:rsidR="00B65F94" w:rsidRDefault="00B65F94" w:rsidP="000F0410">
            <w:pPr>
              <w:pStyle w:val="TableBodyLeft"/>
            </w:pPr>
          </w:p>
          <w:p w:rsidR="0088112B" w:rsidRPr="000F0410" w:rsidRDefault="0088112B" w:rsidP="000F0410">
            <w:pPr>
              <w:pStyle w:val="TableBodyLeft"/>
            </w:pPr>
            <w:r>
              <w:t>DP (Kyrie)</w:t>
            </w:r>
          </w:p>
        </w:tc>
        <w:tc>
          <w:tcPr>
            <w:tcW w:w="3524" w:type="dxa"/>
            <w:shd w:val="clear" w:color="auto" w:fill="auto"/>
          </w:tcPr>
          <w:p w:rsidR="0088112B" w:rsidRDefault="0088112B" w:rsidP="00E33903">
            <w:pPr>
              <w:pStyle w:val="DotPointLVL1"/>
              <w:numPr>
                <w:ilvl w:val="0"/>
                <w:numId w:val="0"/>
              </w:numPr>
            </w:pPr>
            <w:r>
              <w:t>Database that tracks data from K-6</w:t>
            </w:r>
            <w:r w:rsidR="002D3841">
              <w:t>.</w:t>
            </w:r>
          </w:p>
          <w:p w:rsidR="009371B7" w:rsidRDefault="0088112B" w:rsidP="00E33903">
            <w:pPr>
              <w:pStyle w:val="DotPointLVL1"/>
              <w:numPr>
                <w:ilvl w:val="0"/>
                <w:numId w:val="0"/>
              </w:numPr>
            </w:pPr>
            <w:r>
              <w:t>Moderation protocols</w:t>
            </w:r>
            <w:r w:rsidR="002D3841">
              <w:t>.</w:t>
            </w:r>
            <w:r>
              <w:t xml:space="preserve"> </w:t>
            </w:r>
          </w:p>
          <w:p w:rsidR="0088112B" w:rsidRPr="000F0410" w:rsidRDefault="0088112B" w:rsidP="00E33903">
            <w:pPr>
              <w:pStyle w:val="DotPointLVL1"/>
              <w:numPr>
                <w:ilvl w:val="0"/>
                <w:numId w:val="0"/>
              </w:numPr>
            </w:pPr>
            <w:r>
              <w:t>Data collection/evidence against ILP (Smart Go</w:t>
            </w:r>
            <w:r w:rsidR="002D3841">
              <w:t>a</w:t>
            </w:r>
            <w:r>
              <w:t>ls)</w:t>
            </w:r>
            <w:r w:rsidR="002D3841">
              <w:t>.</w:t>
            </w:r>
          </w:p>
        </w:tc>
        <w:tc>
          <w:tcPr>
            <w:tcW w:w="3524" w:type="dxa"/>
            <w:shd w:val="clear" w:color="auto" w:fill="auto"/>
          </w:tcPr>
          <w:p w:rsidR="009371B7" w:rsidRDefault="0088112B" w:rsidP="000F0410">
            <w:pPr>
              <w:pStyle w:val="TableBodyLeft"/>
            </w:pPr>
            <w:r>
              <w:t>R</w:t>
            </w:r>
            <w:r w:rsidRPr="007B4490">
              <w:t>ecord</w:t>
            </w:r>
            <w:r>
              <w:t>ing</w:t>
            </w:r>
            <w:r w:rsidRPr="007B4490">
              <w:t xml:space="preserve"> and monitor</w:t>
            </w:r>
            <w:r>
              <w:t>ing</w:t>
            </w:r>
            <w:r w:rsidRPr="007B4490">
              <w:t xml:space="preserve"> </w:t>
            </w:r>
            <w:r>
              <w:t xml:space="preserve">student </w:t>
            </w:r>
            <w:r w:rsidRPr="007B4490">
              <w:t>progress</w:t>
            </w:r>
            <w:r>
              <w:t xml:space="preserve"> will precipitate improved program development and implementation.</w:t>
            </w:r>
          </w:p>
          <w:p w:rsidR="0088112B" w:rsidRPr="000F0410" w:rsidRDefault="0088112B" w:rsidP="000F0410">
            <w:pPr>
              <w:pStyle w:val="TableBodyLeft"/>
            </w:pPr>
            <w:r>
              <w:t>ILP data will be tracked and measured for growth with consistency from year to year (teacher to teacher).</w:t>
            </w:r>
          </w:p>
        </w:tc>
      </w:tr>
      <w:tr w:rsidR="00194DF6" w:rsidTr="00162782">
        <w:trPr>
          <w:jc w:val="center"/>
        </w:trPr>
        <w:tc>
          <w:tcPr>
            <w:tcW w:w="14096" w:type="dxa"/>
            <w:gridSpan w:val="4"/>
            <w:shd w:val="clear" w:color="auto" w:fill="auto"/>
          </w:tcPr>
          <w:p w:rsidR="00194DF6" w:rsidRDefault="00194DF6" w:rsidP="002A71DD">
            <w:pPr>
              <w:widowControl w:val="0"/>
              <w:rPr>
                <w:color w:val="000000" w:themeColor="text1"/>
              </w:rPr>
            </w:pPr>
            <w:bookmarkStart w:id="2" w:name="_Hlk957106"/>
            <w:r w:rsidRPr="00194DF6">
              <w:rPr>
                <w:b/>
                <w:color w:val="000000" w:themeColor="text1"/>
              </w:rPr>
              <w:t>ACTION</w:t>
            </w:r>
            <w:r w:rsidRPr="006F350C">
              <w:rPr>
                <w:color w:val="000000" w:themeColor="text1"/>
              </w:rPr>
              <w:t xml:space="preserve">: </w:t>
            </w:r>
            <w:r w:rsidR="002A71DD">
              <w:rPr>
                <w:color w:val="000000" w:themeColor="text1"/>
              </w:rPr>
              <w:t xml:space="preserve">Align current ILP/Reporting templates to Education Directorate formats and templates that are </w:t>
            </w:r>
            <w:r w:rsidR="00301550">
              <w:rPr>
                <w:color w:val="000000" w:themeColor="text1"/>
              </w:rPr>
              <w:t>supported through Sentral (SAS)</w:t>
            </w:r>
          </w:p>
        </w:tc>
      </w:tr>
      <w:tr w:rsidR="00194DF6" w:rsidTr="00301550">
        <w:trPr>
          <w:trHeight w:val="13"/>
          <w:jc w:val="center"/>
        </w:trPr>
        <w:tc>
          <w:tcPr>
            <w:tcW w:w="3524" w:type="dxa"/>
            <w:shd w:val="clear" w:color="auto" w:fill="auto"/>
          </w:tcPr>
          <w:p w:rsidR="002A71DD" w:rsidRDefault="002A71DD" w:rsidP="00B65F94">
            <w:pPr>
              <w:pStyle w:val="TableBodyLeft"/>
            </w:pPr>
            <w:r w:rsidRPr="000C7519">
              <w:t>Curriculum - Learning &amp; Teaching</w:t>
            </w:r>
            <w:r>
              <w:t xml:space="preserve"> Section of the Directorate</w:t>
            </w:r>
          </w:p>
          <w:p w:rsidR="002A71DD" w:rsidRDefault="002A71DD" w:rsidP="00B65F94">
            <w:pPr>
              <w:pStyle w:val="TableBodyLeft"/>
            </w:pPr>
            <w:r>
              <w:t>Sentral</w:t>
            </w:r>
          </w:p>
          <w:p w:rsidR="002A71DD" w:rsidRPr="000F0410" w:rsidRDefault="002A71DD" w:rsidP="00B65F94">
            <w:pPr>
              <w:pStyle w:val="TableBodyLeft"/>
            </w:pPr>
            <w:r>
              <w:t>Time allocations</w:t>
            </w:r>
          </w:p>
        </w:tc>
        <w:tc>
          <w:tcPr>
            <w:tcW w:w="3524" w:type="dxa"/>
            <w:shd w:val="clear" w:color="auto" w:fill="auto"/>
          </w:tcPr>
          <w:p w:rsidR="002A71DD" w:rsidRDefault="002A71DD" w:rsidP="002A71DD">
            <w:pPr>
              <w:pStyle w:val="TableBodyLeft"/>
            </w:pPr>
            <w:r>
              <w:t>Assessment and Data PLC and Curriculum leader (DP- Cathy)</w:t>
            </w:r>
          </w:p>
          <w:p w:rsidR="00194DF6" w:rsidRPr="000F0410" w:rsidRDefault="00194DF6" w:rsidP="000F0410">
            <w:pPr>
              <w:pStyle w:val="TableBodyLeft"/>
            </w:pPr>
          </w:p>
        </w:tc>
        <w:tc>
          <w:tcPr>
            <w:tcW w:w="3524" w:type="dxa"/>
            <w:shd w:val="clear" w:color="auto" w:fill="auto"/>
          </w:tcPr>
          <w:p w:rsidR="00194DF6" w:rsidRPr="000F0410" w:rsidRDefault="002A71DD" w:rsidP="000F0410">
            <w:pPr>
              <w:pStyle w:val="TableBodyLeft"/>
            </w:pPr>
            <w:proofErr w:type="spellStart"/>
            <w:r>
              <w:t>Standardised</w:t>
            </w:r>
            <w:proofErr w:type="spellEnd"/>
            <w:r>
              <w:t xml:space="preserve"> report format</w:t>
            </w:r>
            <w:r w:rsidR="002D3841">
              <w:t>.</w:t>
            </w:r>
          </w:p>
        </w:tc>
        <w:tc>
          <w:tcPr>
            <w:tcW w:w="3524" w:type="dxa"/>
            <w:shd w:val="clear" w:color="auto" w:fill="auto"/>
          </w:tcPr>
          <w:p w:rsidR="00194DF6" w:rsidRDefault="002A71DD" w:rsidP="000F0410">
            <w:pPr>
              <w:pStyle w:val="TableBodyLeft"/>
            </w:pPr>
            <w:r w:rsidRPr="007B4490">
              <w:t>Standardised report format</w:t>
            </w:r>
            <w:r>
              <w:t xml:space="preserve"> will support monitoring of student progress</w:t>
            </w:r>
            <w:r w:rsidR="002D3841">
              <w:t>.</w:t>
            </w:r>
          </w:p>
          <w:p w:rsidR="00301550" w:rsidRDefault="00301550" w:rsidP="000F0410">
            <w:pPr>
              <w:pStyle w:val="TableBodyLeft"/>
            </w:pPr>
          </w:p>
          <w:p w:rsidR="00301550" w:rsidRPr="000F0410" w:rsidRDefault="00301550" w:rsidP="000F0410">
            <w:pPr>
              <w:pStyle w:val="TableBodyLeft"/>
            </w:pPr>
          </w:p>
        </w:tc>
      </w:tr>
      <w:bookmarkEnd w:id="2"/>
      <w:tr w:rsidR="00301550" w:rsidTr="00481ED9">
        <w:trPr>
          <w:jc w:val="center"/>
        </w:trPr>
        <w:tc>
          <w:tcPr>
            <w:tcW w:w="14096" w:type="dxa"/>
            <w:gridSpan w:val="4"/>
            <w:shd w:val="clear" w:color="auto" w:fill="auto"/>
          </w:tcPr>
          <w:p w:rsidR="00301550" w:rsidRDefault="00301550" w:rsidP="00481ED9">
            <w:pPr>
              <w:pStyle w:val="TableBodyLeft"/>
              <w:rPr>
                <w:color w:val="000000" w:themeColor="text1"/>
              </w:rPr>
            </w:pPr>
            <w:r w:rsidRPr="00194DF6">
              <w:rPr>
                <w:b/>
                <w:color w:val="000000" w:themeColor="text1"/>
              </w:rPr>
              <w:lastRenderedPageBreak/>
              <w:t>ACTION</w:t>
            </w:r>
            <w:r w:rsidRPr="006F350C">
              <w:rPr>
                <w:color w:val="000000" w:themeColor="text1"/>
              </w:rPr>
              <w:t xml:space="preserve">: </w:t>
            </w:r>
            <w:r w:rsidR="00325F62">
              <w:t xml:space="preserve">Continue to build and design in collaboration with ICW to resume and commence essential school upgrades (safe learning environments) </w:t>
            </w:r>
          </w:p>
        </w:tc>
      </w:tr>
      <w:tr w:rsidR="00301550" w:rsidRPr="000F0410" w:rsidTr="00481ED9">
        <w:trPr>
          <w:jc w:val="center"/>
        </w:trPr>
        <w:tc>
          <w:tcPr>
            <w:tcW w:w="3524" w:type="dxa"/>
            <w:shd w:val="clear" w:color="auto" w:fill="auto"/>
          </w:tcPr>
          <w:p w:rsidR="00301550" w:rsidRDefault="00325F62" w:rsidP="00B65F94">
            <w:pPr>
              <w:pStyle w:val="TableBodyLeft"/>
            </w:pPr>
            <w:r>
              <w:t>Financial Plan and support from ICW</w:t>
            </w:r>
          </w:p>
          <w:p w:rsidR="00325F62" w:rsidRDefault="00325F62" w:rsidP="00B65F94">
            <w:pPr>
              <w:pStyle w:val="TableBodyLeft"/>
            </w:pPr>
            <w:r>
              <w:t xml:space="preserve">Design Plan and support from ICW </w:t>
            </w:r>
          </w:p>
          <w:p w:rsidR="00325F62" w:rsidRPr="000F0410" w:rsidRDefault="00325F62" w:rsidP="00B65F94">
            <w:pPr>
              <w:pStyle w:val="TableBodyLeft"/>
            </w:pPr>
            <w:r>
              <w:t xml:space="preserve">Design/Plan support from </w:t>
            </w:r>
            <w:r w:rsidR="007D0237">
              <w:t xml:space="preserve">the Complex </w:t>
            </w:r>
            <w:r>
              <w:t xml:space="preserve">Response team </w:t>
            </w:r>
          </w:p>
        </w:tc>
        <w:tc>
          <w:tcPr>
            <w:tcW w:w="3524" w:type="dxa"/>
            <w:shd w:val="clear" w:color="auto" w:fill="auto"/>
          </w:tcPr>
          <w:p w:rsidR="00301550" w:rsidRDefault="007D0237" w:rsidP="00481ED9">
            <w:pPr>
              <w:pStyle w:val="TableBodyLeft"/>
            </w:pPr>
            <w:r>
              <w:t>Business Manager</w:t>
            </w:r>
          </w:p>
          <w:p w:rsidR="007D0237" w:rsidRDefault="007D0237" w:rsidP="00481ED9">
            <w:pPr>
              <w:pStyle w:val="TableBodyLeft"/>
            </w:pPr>
            <w:r>
              <w:t>Principal</w:t>
            </w:r>
          </w:p>
          <w:p w:rsidR="007D0237" w:rsidRPr="000F0410" w:rsidRDefault="005E6F78" w:rsidP="00481ED9">
            <w:pPr>
              <w:pStyle w:val="TableBodyLeft"/>
            </w:pPr>
            <w:r>
              <w:t>Playground Committee</w:t>
            </w:r>
          </w:p>
        </w:tc>
        <w:tc>
          <w:tcPr>
            <w:tcW w:w="3524" w:type="dxa"/>
            <w:shd w:val="clear" w:color="auto" w:fill="auto"/>
          </w:tcPr>
          <w:p w:rsidR="00301550" w:rsidRDefault="007D0237" w:rsidP="00481ED9">
            <w:pPr>
              <w:pStyle w:val="TableBodyLeft"/>
            </w:pPr>
            <w:r>
              <w:t>The most up to date, contemporary learning environment suitable for students with complex communication needs and moderate to severe disabilities.</w:t>
            </w:r>
          </w:p>
          <w:p w:rsidR="007D0237" w:rsidRPr="000F0410" w:rsidRDefault="007D0237" w:rsidP="00481ED9">
            <w:pPr>
              <w:pStyle w:val="TableBodyLeft"/>
            </w:pPr>
            <w:r>
              <w:t>Safe and streamlined access for staff and students to transitions around the school</w:t>
            </w:r>
            <w:r w:rsidR="002D3841">
              <w:t>.</w:t>
            </w:r>
          </w:p>
        </w:tc>
        <w:tc>
          <w:tcPr>
            <w:tcW w:w="3524" w:type="dxa"/>
            <w:shd w:val="clear" w:color="auto" w:fill="auto"/>
          </w:tcPr>
          <w:p w:rsidR="00301550" w:rsidRDefault="007D0237" w:rsidP="00481ED9">
            <w:pPr>
              <w:pStyle w:val="TableBodyLeft"/>
            </w:pPr>
            <w:r>
              <w:t>Staff and students will be engaged, safe and provided with multiple spaces to play and learn</w:t>
            </w:r>
            <w:r w:rsidR="002D3841">
              <w:t>.</w:t>
            </w:r>
          </w:p>
          <w:p w:rsidR="007D0237" w:rsidRDefault="007D0237" w:rsidP="00481ED9">
            <w:pPr>
              <w:pStyle w:val="TableBodyLeft"/>
            </w:pPr>
            <w:r>
              <w:t>Higher engagement/improved outcomes</w:t>
            </w:r>
            <w:r w:rsidR="002D3841">
              <w:t>.</w:t>
            </w:r>
          </w:p>
          <w:p w:rsidR="007D0237" w:rsidRDefault="007D0237" w:rsidP="00481ED9">
            <w:pPr>
              <w:pStyle w:val="TableBodyLeft"/>
            </w:pPr>
            <w:r>
              <w:t>Staff wellbeing improves</w:t>
            </w:r>
            <w:r w:rsidR="002D3841">
              <w:t>.</w:t>
            </w:r>
          </w:p>
          <w:p w:rsidR="007D0237" w:rsidRDefault="007D0237" w:rsidP="00481ED9">
            <w:pPr>
              <w:pStyle w:val="TableBodyLeft"/>
            </w:pPr>
            <w:r>
              <w:t xml:space="preserve">Decline in Riskman </w:t>
            </w:r>
            <w:r w:rsidR="00BE64D6">
              <w:t>reporting</w:t>
            </w:r>
          </w:p>
          <w:p w:rsidR="00BE64D6" w:rsidRPr="000F0410" w:rsidRDefault="00BE64D6" w:rsidP="00481ED9">
            <w:pPr>
              <w:pStyle w:val="TableBodyLeft"/>
            </w:pPr>
            <w:r>
              <w:t>Improved SSSD</w:t>
            </w:r>
            <w:r w:rsidR="002D3841">
              <w:t>.</w:t>
            </w:r>
          </w:p>
        </w:tc>
      </w:tr>
    </w:tbl>
    <w:p w:rsidR="008E63DF" w:rsidRPr="000F0410" w:rsidRDefault="008E63DF" w:rsidP="000F0410">
      <w:pPr>
        <w:pStyle w:val="BodyText"/>
      </w:pPr>
    </w:p>
    <w:p w:rsidR="006F350C" w:rsidRPr="000F0410" w:rsidRDefault="006F350C" w:rsidP="000F0410">
      <w:pPr>
        <w:pStyle w:val="BodyText"/>
        <w:sectPr w:rsidR="006F350C" w:rsidRPr="000F0410" w:rsidSect="004C0FDB">
          <w:pgSz w:w="16838" w:h="11906" w:orient="landscape"/>
          <w:pgMar w:top="1440" w:right="1440" w:bottom="1440" w:left="1440" w:header="708" w:footer="708" w:gutter="0"/>
          <w:cols w:space="708"/>
          <w:docGrid w:linePitch="360"/>
        </w:sectPr>
      </w:pPr>
    </w:p>
    <w:p w:rsidR="00733CE5" w:rsidRPr="00E1724D" w:rsidRDefault="00155F05" w:rsidP="00E1724D">
      <w:pPr>
        <w:pStyle w:val="Heading2"/>
        <w:rPr>
          <w:color w:val="auto"/>
        </w:rPr>
      </w:pPr>
      <w:r w:rsidRPr="000F0410">
        <w:lastRenderedPageBreak/>
        <w:t xml:space="preserve">Priority </w:t>
      </w:r>
      <w:r w:rsidR="00DC2AD7">
        <w:t>2</w:t>
      </w:r>
      <w:r w:rsidRPr="000F0410">
        <w:t>:</w:t>
      </w:r>
      <w:r w:rsidRPr="000F0410">
        <w:rPr>
          <w:color w:val="auto"/>
        </w:rPr>
        <w:tab/>
      </w:r>
      <w:r w:rsidR="00733CE5" w:rsidRPr="00E1724D">
        <w:rPr>
          <w:color w:val="auto"/>
        </w:rPr>
        <w:t>High performing teachers will deliver effective pedagogy based on research, data and mutually beneficial partnerships</w:t>
      </w:r>
    </w:p>
    <w:p w:rsidR="00155F05" w:rsidRPr="000F0410" w:rsidRDefault="00155F05" w:rsidP="00155F05">
      <w:pPr>
        <w:pStyle w:val="Heading2"/>
        <w:rPr>
          <w:color w:val="auto"/>
        </w:rPr>
      </w:pPr>
    </w:p>
    <w:p w:rsidR="00155F05" w:rsidRDefault="00155F05" w:rsidP="00155F05">
      <w:pPr>
        <w:pStyle w:val="Heading3"/>
      </w:pPr>
      <w:r>
        <w:t>Strategies</w:t>
      </w:r>
    </w:p>
    <w:p w:rsidR="00155F05" w:rsidRPr="000F0410" w:rsidRDefault="00DB18B3" w:rsidP="00155F05">
      <w:pPr>
        <w:pStyle w:val="NumberedList"/>
      </w:pPr>
      <w:r>
        <w:t>Renew and embed Cranleigh CORE Values</w:t>
      </w:r>
      <w:r w:rsidR="00364E7F">
        <w:t xml:space="preserve"> (Commitment, Opportunity Respect, Excellence)</w:t>
      </w:r>
    </w:p>
    <w:p w:rsidR="00155F05" w:rsidRPr="000F0410" w:rsidRDefault="00DB18B3" w:rsidP="00155F05">
      <w:pPr>
        <w:pStyle w:val="NumberedList"/>
      </w:pPr>
      <w:r>
        <w:t>Develop and embed a culture of pedagogical reflection and improvement based on evidence</w:t>
      </w:r>
    </w:p>
    <w:p w:rsidR="00155F05" w:rsidRPr="000F0410" w:rsidRDefault="00DB18B3" w:rsidP="00155F05">
      <w:pPr>
        <w:pStyle w:val="NumberedList"/>
      </w:pPr>
      <w:r>
        <w:t>Develop school community partnerships that will mutually benefit staff and students (align these to CORE values)</w:t>
      </w:r>
    </w:p>
    <w:p w:rsidR="00155F05" w:rsidRDefault="00155F05" w:rsidP="00155F05">
      <w:pPr>
        <w:pStyle w:val="Heading3"/>
      </w:pPr>
      <w:r>
        <w:t>Actions</w:t>
      </w:r>
    </w:p>
    <w:tbl>
      <w:tblPr>
        <w:tblStyle w:val="TableGrid"/>
        <w:tblW w:w="14096" w:type="dxa"/>
        <w:jc w:val="center"/>
        <w:tblCellMar>
          <w:top w:w="57" w:type="dxa"/>
          <w:left w:w="57" w:type="dxa"/>
          <w:bottom w:w="57" w:type="dxa"/>
          <w:right w:w="57" w:type="dxa"/>
        </w:tblCellMar>
        <w:tblLook w:val="04A0" w:firstRow="1" w:lastRow="0" w:firstColumn="1" w:lastColumn="0" w:noHBand="0" w:noVBand="1"/>
      </w:tblPr>
      <w:tblGrid>
        <w:gridCol w:w="3524"/>
        <w:gridCol w:w="3524"/>
        <w:gridCol w:w="3524"/>
        <w:gridCol w:w="3524"/>
      </w:tblGrid>
      <w:tr w:rsidR="00155F05" w:rsidTr="004B386E">
        <w:trPr>
          <w:tblHeader/>
          <w:jc w:val="center"/>
        </w:trPr>
        <w:tc>
          <w:tcPr>
            <w:tcW w:w="3524" w:type="dxa"/>
            <w:shd w:val="clear" w:color="auto" w:fill="00AEEF"/>
          </w:tcPr>
          <w:p w:rsidR="00155F05" w:rsidRPr="00882120" w:rsidRDefault="00155F05" w:rsidP="00EA1296">
            <w:pPr>
              <w:pStyle w:val="TableColumnHeaderLeft"/>
            </w:pPr>
            <w:r w:rsidRPr="00882120">
              <w:t xml:space="preserve">What </w:t>
            </w:r>
            <w:r w:rsidRPr="00882120">
              <w:rPr>
                <w:b/>
                <w:i/>
                <w:u w:val="single"/>
              </w:rPr>
              <w:t>resources</w:t>
            </w:r>
            <w:r w:rsidRPr="00882120">
              <w:t xml:space="preserve"> are needed?</w:t>
            </w:r>
          </w:p>
        </w:tc>
        <w:tc>
          <w:tcPr>
            <w:tcW w:w="3524" w:type="dxa"/>
            <w:shd w:val="clear" w:color="auto" w:fill="00AEEF"/>
          </w:tcPr>
          <w:p w:rsidR="00155F05" w:rsidRPr="00882120" w:rsidRDefault="00155F05" w:rsidP="00EA1296">
            <w:pPr>
              <w:pStyle w:val="TableColumnHeaderLeft"/>
            </w:pPr>
            <w:r w:rsidRPr="00882120">
              <w:t xml:space="preserve">Who will </w:t>
            </w:r>
            <w:r w:rsidRPr="00882120">
              <w:rPr>
                <w:b/>
                <w:i/>
                <w:u w:val="single"/>
              </w:rPr>
              <w:t>lead</w:t>
            </w:r>
            <w:r w:rsidRPr="00882120">
              <w:t xml:space="preserve"> this action?</w:t>
            </w:r>
          </w:p>
        </w:tc>
        <w:tc>
          <w:tcPr>
            <w:tcW w:w="3524" w:type="dxa"/>
            <w:shd w:val="clear" w:color="auto" w:fill="00AEEF"/>
          </w:tcPr>
          <w:p w:rsidR="00155F05" w:rsidRPr="00247B71" w:rsidRDefault="00155F05" w:rsidP="00EA1296">
            <w:pPr>
              <w:pStyle w:val="TableColumnHeaderLeft"/>
            </w:pPr>
            <w:r>
              <w:t xml:space="preserve">What will be </w:t>
            </w:r>
            <w:r w:rsidRPr="002E73E5">
              <w:rPr>
                <w:b/>
                <w:i/>
                <w:u w:val="single"/>
              </w:rPr>
              <w:t>produced</w:t>
            </w:r>
            <w:r>
              <w:t xml:space="preserve"> to support this action?</w:t>
            </w:r>
          </w:p>
        </w:tc>
        <w:tc>
          <w:tcPr>
            <w:tcW w:w="3524" w:type="dxa"/>
            <w:shd w:val="clear" w:color="auto" w:fill="00AEEF"/>
          </w:tcPr>
          <w:p w:rsidR="00155F05" w:rsidRPr="002E73E5" w:rsidRDefault="00155F05" w:rsidP="00EA1296">
            <w:pPr>
              <w:pStyle w:val="TableColumnHeaderLeft"/>
            </w:pPr>
            <w:r w:rsidRPr="002E73E5">
              <w:t xml:space="preserve">How will this action </w:t>
            </w:r>
            <w:r w:rsidRPr="002E73E5">
              <w:rPr>
                <w:b/>
                <w:i/>
                <w:u w:val="single"/>
              </w:rPr>
              <w:t>impact</w:t>
            </w:r>
            <w:r w:rsidRPr="002E73E5">
              <w:t xml:space="preserve"> on student learning?</w:t>
            </w:r>
          </w:p>
        </w:tc>
      </w:tr>
      <w:tr w:rsidR="00155F05" w:rsidTr="00162782">
        <w:trPr>
          <w:jc w:val="center"/>
        </w:trPr>
        <w:tc>
          <w:tcPr>
            <w:tcW w:w="14096" w:type="dxa"/>
            <w:gridSpan w:val="4"/>
            <w:shd w:val="clear" w:color="auto" w:fill="auto"/>
          </w:tcPr>
          <w:p w:rsidR="00155F05" w:rsidRPr="00882120" w:rsidRDefault="00155F05" w:rsidP="00EA1296">
            <w:pPr>
              <w:pStyle w:val="TableBodyLeft"/>
              <w:rPr>
                <w:color w:val="808080" w:themeColor="background1" w:themeShade="80"/>
              </w:rPr>
            </w:pPr>
            <w:r w:rsidRPr="00194DF6">
              <w:rPr>
                <w:b/>
                <w:color w:val="000000" w:themeColor="text1"/>
              </w:rPr>
              <w:t>ACTION</w:t>
            </w:r>
            <w:r w:rsidRPr="006F350C">
              <w:rPr>
                <w:color w:val="000000" w:themeColor="text1"/>
              </w:rPr>
              <w:t>:</w:t>
            </w:r>
            <w:r w:rsidRPr="000F0410">
              <w:rPr>
                <w:color w:val="000000" w:themeColor="text1"/>
              </w:rPr>
              <w:t xml:space="preserve"> </w:t>
            </w:r>
            <w:r w:rsidR="00AD030C">
              <w:rPr>
                <w:color w:val="000000" w:themeColor="text1"/>
              </w:rPr>
              <w:t xml:space="preserve">All </w:t>
            </w:r>
            <w:r w:rsidR="00364E7F">
              <w:rPr>
                <w:color w:val="000000" w:themeColor="text1"/>
              </w:rPr>
              <w:t>stakeholders</w:t>
            </w:r>
            <w:r w:rsidR="00AD030C">
              <w:rPr>
                <w:color w:val="000000" w:themeColor="text1"/>
              </w:rPr>
              <w:t xml:space="preserve"> will be able to articulate</w:t>
            </w:r>
            <w:r w:rsidR="00364E7F">
              <w:rPr>
                <w:color w:val="000000" w:themeColor="text1"/>
              </w:rPr>
              <w:t xml:space="preserve"> and celebrate the CORE Values </w:t>
            </w:r>
            <w:r w:rsidR="00AD030C">
              <w:rPr>
                <w:color w:val="000000" w:themeColor="text1"/>
              </w:rPr>
              <w:t xml:space="preserve"> </w:t>
            </w:r>
          </w:p>
        </w:tc>
      </w:tr>
      <w:tr w:rsidR="00155F05" w:rsidTr="00162782">
        <w:trPr>
          <w:jc w:val="center"/>
        </w:trPr>
        <w:tc>
          <w:tcPr>
            <w:tcW w:w="3524" w:type="dxa"/>
            <w:shd w:val="clear" w:color="auto" w:fill="auto"/>
          </w:tcPr>
          <w:p w:rsidR="00155F05" w:rsidRDefault="006B6111" w:rsidP="00B65F94">
            <w:pPr>
              <w:pStyle w:val="DotPointLVL1"/>
              <w:numPr>
                <w:ilvl w:val="0"/>
                <w:numId w:val="0"/>
              </w:numPr>
            </w:pPr>
            <w:r>
              <w:t>Graphic Designer</w:t>
            </w:r>
          </w:p>
          <w:p w:rsidR="006B6111" w:rsidRDefault="006B6111" w:rsidP="00B65F94">
            <w:pPr>
              <w:pStyle w:val="DotPointLVL1"/>
              <w:numPr>
                <w:ilvl w:val="0"/>
                <w:numId w:val="0"/>
              </w:numPr>
            </w:pPr>
            <w:r>
              <w:t>School improvement budget (unknown)</w:t>
            </w:r>
          </w:p>
          <w:p w:rsidR="00D764FF" w:rsidRDefault="006B6111" w:rsidP="00B65F94">
            <w:pPr>
              <w:pStyle w:val="DotPointLVL1"/>
              <w:numPr>
                <w:ilvl w:val="0"/>
                <w:numId w:val="0"/>
              </w:numPr>
            </w:pPr>
            <w:r>
              <w:t>Time allocations</w:t>
            </w:r>
            <w:r w:rsidR="00D764FF">
              <w:t xml:space="preserve"> </w:t>
            </w:r>
          </w:p>
          <w:p w:rsidR="006B6111" w:rsidRPr="000F0410" w:rsidRDefault="00D764FF" w:rsidP="00B65F94">
            <w:pPr>
              <w:pStyle w:val="DotPointLVL1"/>
              <w:numPr>
                <w:ilvl w:val="0"/>
                <w:numId w:val="0"/>
              </w:numPr>
            </w:pPr>
            <w:r>
              <w:t>CORE Values</w:t>
            </w:r>
          </w:p>
        </w:tc>
        <w:tc>
          <w:tcPr>
            <w:tcW w:w="3524" w:type="dxa"/>
            <w:shd w:val="clear" w:color="auto" w:fill="auto"/>
          </w:tcPr>
          <w:p w:rsidR="00155F05" w:rsidRDefault="00BD1FBD" w:rsidP="00EA1296">
            <w:pPr>
              <w:pStyle w:val="TableBodyLeft"/>
            </w:pPr>
            <w:r>
              <w:t>Leadership Team</w:t>
            </w:r>
          </w:p>
          <w:p w:rsidR="00BD1FBD" w:rsidRDefault="00BD1FBD" w:rsidP="00EA1296">
            <w:pPr>
              <w:pStyle w:val="TableBodyLeft"/>
            </w:pPr>
            <w:r>
              <w:t xml:space="preserve">All staff </w:t>
            </w:r>
          </w:p>
          <w:p w:rsidR="00C76FD1" w:rsidRDefault="006B6111" w:rsidP="00EA1296">
            <w:pPr>
              <w:pStyle w:val="TableBodyLeft"/>
            </w:pPr>
            <w:r>
              <w:t xml:space="preserve">Business Maher </w:t>
            </w:r>
          </w:p>
          <w:p w:rsidR="006B6111" w:rsidRPr="000F0410" w:rsidRDefault="006B6111" w:rsidP="00EA1296">
            <w:pPr>
              <w:pStyle w:val="TableBodyLeft"/>
            </w:pPr>
            <w:r>
              <w:t>School Improvement Committee</w:t>
            </w:r>
          </w:p>
        </w:tc>
        <w:tc>
          <w:tcPr>
            <w:tcW w:w="3524" w:type="dxa"/>
            <w:shd w:val="clear" w:color="auto" w:fill="auto"/>
          </w:tcPr>
          <w:p w:rsidR="00155F05" w:rsidRDefault="00C76FD1" w:rsidP="00C76FD1">
            <w:pPr>
              <w:pStyle w:val="DotPointLVL1"/>
              <w:numPr>
                <w:ilvl w:val="0"/>
                <w:numId w:val="0"/>
              </w:numPr>
            </w:pPr>
            <w:r>
              <w:t>I</w:t>
            </w:r>
            <w:r w:rsidR="00BD1FBD">
              <w:t>mproved signage</w:t>
            </w:r>
            <w:r w:rsidR="002D3841">
              <w:t>.</w:t>
            </w:r>
          </w:p>
          <w:p w:rsidR="00BD1FBD" w:rsidRDefault="00BD1FBD" w:rsidP="00C76FD1">
            <w:pPr>
              <w:pStyle w:val="DotPointLVL1"/>
              <w:numPr>
                <w:ilvl w:val="0"/>
                <w:numId w:val="0"/>
              </w:numPr>
            </w:pPr>
            <w:r>
              <w:t xml:space="preserve">Rebadging of school </w:t>
            </w:r>
            <w:r w:rsidR="002D3841">
              <w:t>logo.</w:t>
            </w:r>
          </w:p>
          <w:p w:rsidR="00C76FD1" w:rsidRDefault="00BD1FBD" w:rsidP="00C76FD1">
            <w:pPr>
              <w:pStyle w:val="DotPointLVL1"/>
              <w:numPr>
                <w:ilvl w:val="0"/>
                <w:numId w:val="0"/>
              </w:numPr>
              <w:ind w:left="360" w:hanging="360"/>
            </w:pPr>
            <w:r>
              <w:t xml:space="preserve">Changes to letterheads and </w:t>
            </w:r>
          </w:p>
          <w:p w:rsidR="00BD1FBD" w:rsidRPr="000F0410" w:rsidRDefault="00BD1FBD" w:rsidP="00C76FD1">
            <w:pPr>
              <w:pStyle w:val="DotPointLVL1"/>
              <w:numPr>
                <w:ilvl w:val="0"/>
                <w:numId w:val="0"/>
              </w:numPr>
              <w:ind w:left="360" w:hanging="360"/>
            </w:pPr>
            <w:r>
              <w:t>all school promotions</w:t>
            </w:r>
            <w:r w:rsidR="002D3841">
              <w:t>.</w:t>
            </w:r>
          </w:p>
        </w:tc>
        <w:tc>
          <w:tcPr>
            <w:tcW w:w="3524" w:type="dxa"/>
            <w:shd w:val="clear" w:color="auto" w:fill="auto"/>
          </w:tcPr>
          <w:p w:rsidR="00CF178B" w:rsidRDefault="00CF178B" w:rsidP="00EA1296">
            <w:pPr>
              <w:pStyle w:val="TableBodyLeft"/>
            </w:pPr>
            <w:r>
              <w:t>Mutual accountability for all stakeholders</w:t>
            </w:r>
            <w:r w:rsidR="002D3841">
              <w:t>.</w:t>
            </w:r>
          </w:p>
          <w:p w:rsidR="00CF178B" w:rsidRDefault="00CF178B" w:rsidP="00EA1296">
            <w:pPr>
              <w:pStyle w:val="TableBodyLeft"/>
            </w:pPr>
            <w:r>
              <w:t>Improved student outcomes</w:t>
            </w:r>
            <w:r w:rsidR="002D3841">
              <w:t>.</w:t>
            </w:r>
          </w:p>
          <w:p w:rsidR="00BD1FBD" w:rsidRPr="000F0410" w:rsidRDefault="00CF178B" w:rsidP="00EA1296">
            <w:pPr>
              <w:pStyle w:val="TableBodyLeft"/>
            </w:pPr>
            <w:r>
              <w:t>Clear understanding of the school’s improvement agenda</w:t>
            </w:r>
            <w:r w:rsidR="002D3841">
              <w:t>.</w:t>
            </w:r>
            <w:r w:rsidR="00BD1FBD">
              <w:t xml:space="preserve"> </w:t>
            </w:r>
          </w:p>
        </w:tc>
      </w:tr>
      <w:tr w:rsidR="00155F05" w:rsidTr="00162782">
        <w:trPr>
          <w:jc w:val="center"/>
        </w:trPr>
        <w:tc>
          <w:tcPr>
            <w:tcW w:w="14096" w:type="dxa"/>
            <w:gridSpan w:val="4"/>
            <w:shd w:val="clear" w:color="auto" w:fill="auto"/>
          </w:tcPr>
          <w:p w:rsidR="00155F05" w:rsidRDefault="00155F05" w:rsidP="00EA1296">
            <w:pPr>
              <w:pStyle w:val="TableBodyLeft"/>
              <w:rPr>
                <w:color w:val="000000" w:themeColor="text1"/>
              </w:rPr>
            </w:pPr>
            <w:r w:rsidRPr="00194DF6">
              <w:rPr>
                <w:b/>
                <w:color w:val="000000" w:themeColor="text1"/>
              </w:rPr>
              <w:t>ACTION</w:t>
            </w:r>
            <w:r w:rsidRPr="006F350C">
              <w:rPr>
                <w:color w:val="000000" w:themeColor="text1"/>
              </w:rPr>
              <w:t xml:space="preserve">: </w:t>
            </w:r>
            <w:r w:rsidR="006B6111">
              <w:rPr>
                <w:color w:val="000000" w:themeColor="text1"/>
              </w:rPr>
              <w:t xml:space="preserve">Cranleigh will become a total Communication Environment with all staff becoming proficient communication partners </w:t>
            </w:r>
            <w:r w:rsidR="002E791B">
              <w:rPr>
                <w:color w:val="000000" w:themeColor="text1"/>
              </w:rPr>
              <w:t>using</w:t>
            </w:r>
            <w:r w:rsidR="006B6111">
              <w:rPr>
                <w:color w:val="000000" w:themeColor="text1"/>
              </w:rPr>
              <w:t xml:space="preserve"> </w:t>
            </w:r>
            <w:r w:rsidR="0056465F">
              <w:rPr>
                <w:color w:val="000000" w:themeColor="text1"/>
              </w:rPr>
              <w:t>PODD</w:t>
            </w:r>
          </w:p>
        </w:tc>
      </w:tr>
      <w:tr w:rsidR="00155F05" w:rsidTr="00162782">
        <w:trPr>
          <w:jc w:val="center"/>
        </w:trPr>
        <w:tc>
          <w:tcPr>
            <w:tcW w:w="3524" w:type="dxa"/>
            <w:shd w:val="clear" w:color="auto" w:fill="auto"/>
          </w:tcPr>
          <w:p w:rsidR="006B6111" w:rsidRDefault="006B6111" w:rsidP="00B65F94">
            <w:pPr>
              <w:pStyle w:val="TableBodyLeft"/>
            </w:pPr>
            <w:r>
              <w:t>PL Week 0 and consultation f</w:t>
            </w:r>
            <w:r w:rsidR="002E791B">
              <w:t>ro</w:t>
            </w:r>
            <w:r>
              <w:t xml:space="preserve">m Haylee </w:t>
            </w:r>
            <w:r w:rsidR="002E791B">
              <w:t>Parfitt (SP) mid-year</w:t>
            </w:r>
          </w:p>
          <w:p w:rsidR="006B6111" w:rsidRDefault="006B6111" w:rsidP="00B65F94">
            <w:pPr>
              <w:pStyle w:val="TableBodyLeft"/>
            </w:pPr>
            <w:r>
              <w:t>PODD refresher/modelling at each staff meeting</w:t>
            </w:r>
          </w:p>
          <w:p w:rsidR="006B6111" w:rsidRDefault="006B6111" w:rsidP="00B65F94">
            <w:pPr>
              <w:pStyle w:val="TableBodyLeft"/>
            </w:pPr>
            <w:r>
              <w:t xml:space="preserve">Lead Teacher in PODD to coach in </w:t>
            </w:r>
            <w:r w:rsidR="002E791B">
              <w:t>classrooms</w:t>
            </w:r>
          </w:p>
          <w:p w:rsidR="002E791B" w:rsidRDefault="002E791B" w:rsidP="00B65F94">
            <w:pPr>
              <w:pStyle w:val="TableBodyLeft"/>
            </w:pPr>
            <w:r>
              <w:t>Budget considerations</w:t>
            </w:r>
          </w:p>
          <w:p w:rsidR="00B65F94" w:rsidRPr="000F0410" w:rsidRDefault="00B65F94" w:rsidP="00B65F94">
            <w:pPr>
              <w:pStyle w:val="TableBodyLeft"/>
            </w:pPr>
            <w:r>
              <w:t>NSET (SP)</w:t>
            </w:r>
          </w:p>
        </w:tc>
        <w:tc>
          <w:tcPr>
            <w:tcW w:w="3524" w:type="dxa"/>
            <w:shd w:val="clear" w:color="auto" w:fill="auto"/>
          </w:tcPr>
          <w:p w:rsidR="00155F05" w:rsidRDefault="002E791B" w:rsidP="00EA1296">
            <w:pPr>
              <w:pStyle w:val="TableBodyLeft"/>
            </w:pPr>
            <w:r>
              <w:t>Leadership Team</w:t>
            </w:r>
          </w:p>
          <w:p w:rsidR="002E791B" w:rsidRPr="000F0410" w:rsidRDefault="002E791B" w:rsidP="00EA1296">
            <w:pPr>
              <w:pStyle w:val="TableBodyLeft"/>
            </w:pPr>
            <w:r>
              <w:t>Communication PLC</w:t>
            </w:r>
          </w:p>
        </w:tc>
        <w:tc>
          <w:tcPr>
            <w:tcW w:w="3524" w:type="dxa"/>
            <w:shd w:val="clear" w:color="auto" w:fill="auto"/>
          </w:tcPr>
          <w:p w:rsidR="00155F05" w:rsidRDefault="002E791B" w:rsidP="00EA1296">
            <w:pPr>
              <w:pStyle w:val="TableBodyLeft"/>
            </w:pPr>
            <w:r>
              <w:t>Standing agenda item at staff meetings</w:t>
            </w:r>
            <w:r w:rsidR="002D3841">
              <w:t>.</w:t>
            </w:r>
          </w:p>
          <w:p w:rsidR="002E791B" w:rsidRDefault="002E791B" w:rsidP="00EA1296">
            <w:pPr>
              <w:pStyle w:val="TableBodyLeft"/>
            </w:pPr>
            <w:r>
              <w:t>Roster for coaching/consultation</w:t>
            </w:r>
            <w:r w:rsidR="002D3841">
              <w:t>.</w:t>
            </w:r>
            <w:r>
              <w:t xml:space="preserve">  </w:t>
            </w:r>
          </w:p>
          <w:p w:rsidR="002E791B" w:rsidRDefault="002E791B" w:rsidP="00EA1296">
            <w:pPr>
              <w:pStyle w:val="TableBodyLeft"/>
            </w:pPr>
            <w:r>
              <w:t>PODD and Apron upkeep/</w:t>
            </w:r>
            <w:r w:rsidR="002D3841">
              <w:t xml:space="preserve"> </w:t>
            </w:r>
            <w:r>
              <w:t>maintenance</w:t>
            </w:r>
            <w:r w:rsidR="002D3841">
              <w:t>.</w:t>
            </w:r>
          </w:p>
          <w:p w:rsidR="002E791B" w:rsidRDefault="002E791B" w:rsidP="00EA1296">
            <w:pPr>
              <w:pStyle w:val="TableBodyLeft"/>
            </w:pPr>
            <w:r>
              <w:t>EOI for identified conferences</w:t>
            </w:r>
            <w:r w:rsidR="002D3841">
              <w:t>.</w:t>
            </w:r>
          </w:p>
          <w:p w:rsidR="002E791B" w:rsidRPr="000F0410" w:rsidRDefault="002E791B" w:rsidP="00EA1296">
            <w:pPr>
              <w:pStyle w:val="TableBodyLeft"/>
            </w:pPr>
            <w:r>
              <w:t>Possible study tour</w:t>
            </w:r>
            <w:r w:rsidR="002D3841">
              <w:t>.</w:t>
            </w:r>
          </w:p>
        </w:tc>
        <w:tc>
          <w:tcPr>
            <w:tcW w:w="3524" w:type="dxa"/>
            <w:shd w:val="clear" w:color="auto" w:fill="auto"/>
          </w:tcPr>
          <w:p w:rsidR="00155F05" w:rsidRDefault="002E791B" w:rsidP="00EA1296">
            <w:pPr>
              <w:pStyle w:val="TableBodyLeft"/>
            </w:pPr>
            <w:r>
              <w:t>Over time all staff will be able to navigate through the PODD with ease to talk to students</w:t>
            </w:r>
            <w:r w:rsidR="002D3841">
              <w:t>.</w:t>
            </w:r>
          </w:p>
          <w:p w:rsidR="002E791B" w:rsidRDefault="002E791B" w:rsidP="00EA1296">
            <w:pPr>
              <w:pStyle w:val="TableBodyLeft"/>
            </w:pPr>
            <w:r>
              <w:t>Students will begin to initiate conversation through PODD</w:t>
            </w:r>
            <w:r w:rsidR="002D3841">
              <w:t>.</w:t>
            </w:r>
          </w:p>
          <w:p w:rsidR="002E791B" w:rsidRDefault="002E791B" w:rsidP="00EA1296">
            <w:pPr>
              <w:pStyle w:val="TableBodyLeft"/>
            </w:pPr>
            <w:r>
              <w:t xml:space="preserve">Improved learning </w:t>
            </w:r>
            <w:r w:rsidR="00B65F94">
              <w:t>outcomes</w:t>
            </w:r>
            <w:r w:rsidR="002D3841">
              <w:t>.</w:t>
            </w:r>
          </w:p>
          <w:p w:rsidR="002E791B" w:rsidRDefault="00B65F94" w:rsidP="00EA1296">
            <w:pPr>
              <w:pStyle w:val="TableBodyLeft"/>
            </w:pPr>
            <w:r>
              <w:t>Decre</w:t>
            </w:r>
            <w:r w:rsidR="00CF178B">
              <w:t>ase</w:t>
            </w:r>
            <w:r w:rsidR="002E791B">
              <w:t xml:space="preserve"> in behavior/</w:t>
            </w:r>
            <w:r>
              <w:t>communication</w:t>
            </w:r>
            <w:r w:rsidR="002E791B">
              <w:t xml:space="preserve"> related issues</w:t>
            </w:r>
            <w:r w:rsidR="002D3841">
              <w:t>.</w:t>
            </w:r>
          </w:p>
          <w:p w:rsidR="002E791B" w:rsidRDefault="002E791B" w:rsidP="00EA1296">
            <w:pPr>
              <w:pStyle w:val="TableBodyLeft"/>
            </w:pPr>
            <w:r>
              <w:t xml:space="preserve">All </w:t>
            </w:r>
            <w:r w:rsidR="00B65F94">
              <w:t>students</w:t>
            </w:r>
            <w:r>
              <w:t xml:space="preserve"> will have a ‘voice’</w:t>
            </w:r>
            <w:r w:rsidR="002D3841">
              <w:t>.</w:t>
            </w:r>
          </w:p>
          <w:p w:rsidR="002E791B" w:rsidRDefault="002E791B" w:rsidP="00EA1296">
            <w:pPr>
              <w:pStyle w:val="TableBodyLeft"/>
            </w:pPr>
            <w:r>
              <w:t>Cranleigh is a lighthouse school for best practice</w:t>
            </w:r>
            <w:r w:rsidR="002D3841">
              <w:t>.</w:t>
            </w:r>
          </w:p>
          <w:p w:rsidR="002E791B" w:rsidRPr="000F0410" w:rsidRDefault="002E791B" w:rsidP="00EA1296">
            <w:pPr>
              <w:pStyle w:val="TableBodyLeft"/>
            </w:pPr>
          </w:p>
        </w:tc>
      </w:tr>
      <w:tr w:rsidR="0056465F" w:rsidTr="00481ED9">
        <w:trPr>
          <w:jc w:val="center"/>
        </w:trPr>
        <w:tc>
          <w:tcPr>
            <w:tcW w:w="14096" w:type="dxa"/>
            <w:gridSpan w:val="4"/>
            <w:shd w:val="clear" w:color="auto" w:fill="auto"/>
          </w:tcPr>
          <w:p w:rsidR="0056465F" w:rsidRDefault="0056465F" w:rsidP="00481ED9">
            <w:pPr>
              <w:pStyle w:val="TableBodyLeft"/>
              <w:rPr>
                <w:color w:val="000000" w:themeColor="text1"/>
              </w:rPr>
            </w:pPr>
            <w:r w:rsidRPr="00194DF6">
              <w:rPr>
                <w:b/>
                <w:color w:val="000000" w:themeColor="text1"/>
              </w:rPr>
              <w:lastRenderedPageBreak/>
              <w:t>ACTION</w:t>
            </w:r>
            <w:r w:rsidRPr="006F350C">
              <w:rPr>
                <w:color w:val="000000" w:themeColor="text1"/>
              </w:rPr>
              <w:t xml:space="preserve">: </w:t>
            </w:r>
            <w:r w:rsidR="00327225" w:rsidRPr="00B54BCA">
              <w:rPr>
                <w:rFonts w:ascii="Calibri" w:eastAsia="Calibri" w:hAnsi="Calibri" w:cs="Calibri"/>
                <w:color w:val="000000"/>
                <w:lang w:eastAsia="en-AU"/>
              </w:rPr>
              <w:t xml:space="preserve">Develop school community partnerships that will mutually benefit </w:t>
            </w:r>
            <w:r w:rsidR="00924BF9">
              <w:rPr>
                <w:rFonts w:ascii="Calibri" w:eastAsia="Calibri" w:hAnsi="Calibri" w:cs="Calibri"/>
                <w:color w:val="000000"/>
                <w:lang w:eastAsia="en-AU"/>
              </w:rPr>
              <w:t xml:space="preserve">all stakeholders such as senior Camp and ‘Come, see @ celebrate’ </w:t>
            </w:r>
          </w:p>
        </w:tc>
      </w:tr>
      <w:tr w:rsidR="0056465F" w:rsidRPr="000F0410" w:rsidTr="00481ED9">
        <w:trPr>
          <w:jc w:val="center"/>
        </w:trPr>
        <w:tc>
          <w:tcPr>
            <w:tcW w:w="3524" w:type="dxa"/>
            <w:shd w:val="clear" w:color="auto" w:fill="auto"/>
          </w:tcPr>
          <w:p w:rsidR="0056465F" w:rsidRDefault="00924BF9" w:rsidP="00481ED9">
            <w:pPr>
              <w:pStyle w:val="TableBodyLeft"/>
            </w:pPr>
            <w:r>
              <w:t>Planned and monitored partnerships</w:t>
            </w:r>
          </w:p>
          <w:p w:rsidR="00924BF9" w:rsidRDefault="00924BF9" w:rsidP="00481ED9">
            <w:pPr>
              <w:pStyle w:val="TableBodyLeft"/>
            </w:pPr>
            <w:r>
              <w:t>Grant applications</w:t>
            </w:r>
          </w:p>
          <w:p w:rsidR="00924BF9" w:rsidRDefault="00924BF9" w:rsidP="00481ED9">
            <w:pPr>
              <w:pStyle w:val="TableBodyLeft"/>
            </w:pPr>
            <w:r>
              <w:t xml:space="preserve">Time allocation </w:t>
            </w:r>
          </w:p>
          <w:p w:rsidR="00924BF9" w:rsidRDefault="00924BF9" w:rsidP="00481ED9">
            <w:pPr>
              <w:pStyle w:val="TableBodyLeft"/>
            </w:pPr>
            <w:r>
              <w:t xml:space="preserve">Meet with Aranda and Weetangera </w:t>
            </w:r>
          </w:p>
          <w:p w:rsidR="00924BF9" w:rsidRDefault="00924BF9" w:rsidP="00481ED9">
            <w:pPr>
              <w:pStyle w:val="TableBodyLeft"/>
            </w:pPr>
            <w:r>
              <w:t xml:space="preserve">Budget considerations </w:t>
            </w:r>
          </w:p>
          <w:p w:rsidR="00A90180" w:rsidRDefault="00A90180" w:rsidP="00481ED9">
            <w:pPr>
              <w:pStyle w:val="TableBodyLeft"/>
            </w:pPr>
            <w:r>
              <w:t>Social Media promotions</w:t>
            </w:r>
          </w:p>
          <w:p w:rsidR="00A90180" w:rsidRPr="000F0410" w:rsidRDefault="00A90180" w:rsidP="00481ED9">
            <w:pPr>
              <w:pStyle w:val="TableBodyLeft"/>
            </w:pPr>
            <w:r>
              <w:t>Advertising</w:t>
            </w:r>
          </w:p>
        </w:tc>
        <w:tc>
          <w:tcPr>
            <w:tcW w:w="3524" w:type="dxa"/>
            <w:shd w:val="clear" w:color="auto" w:fill="auto"/>
          </w:tcPr>
          <w:p w:rsidR="0056465F" w:rsidRDefault="00924BF9" w:rsidP="00481ED9">
            <w:pPr>
              <w:pStyle w:val="TableBodyLeft"/>
            </w:pPr>
            <w:r>
              <w:t>Principal</w:t>
            </w:r>
          </w:p>
          <w:p w:rsidR="00924BF9" w:rsidRDefault="00924BF9" w:rsidP="00481ED9">
            <w:pPr>
              <w:pStyle w:val="TableBodyLeft"/>
            </w:pPr>
            <w:r>
              <w:t>P&amp;C</w:t>
            </w:r>
          </w:p>
          <w:p w:rsidR="00924BF9" w:rsidRDefault="00924BF9" w:rsidP="00481ED9">
            <w:pPr>
              <w:pStyle w:val="TableBodyLeft"/>
            </w:pPr>
            <w:r>
              <w:t>SLC – Whole school events</w:t>
            </w:r>
          </w:p>
          <w:p w:rsidR="00924BF9" w:rsidRPr="000F0410" w:rsidRDefault="00924BF9" w:rsidP="00481ED9">
            <w:pPr>
              <w:pStyle w:val="TableBodyLeft"/>
            </w:pPr>
            <w:r>
              <w:t xml:space="preserve">Level 3.2 teachers </w:t>
            </w:r>
          </w:p>
        </w:tc>
        <w:tc>
          <w:tcPr>
            <w:tcW w:w="3524" w:type="dxa"/>
            <w:shd w:val="clear" w:color="auto" w:fill="auto"/>
          </w:tcPr>
          <w:p w:rsidR="00E33903" w:rsidRDefault="00A90180" w:rsidP="00481ED9">
            <w:pPr>
              <w:pStyle w:val="TableBodyLeft"/>
            </w:pPr>
            <w:r>
              <w:t>Senior</w:t>
            </w:r>
            <w:r w:rsidR="00924BF9">
              <w:t xml:space="preserve"> </w:t>
            </w:r>
            <w:r>
              <w:t xml:space="preserve">students </w:t>
            </w:r>
            <w:r w:rsidR="00924BF9">
              <w:t>will join buddy school</w:t>
            </w:r>
            <w:r>
              <w:t>s</w:t>
            </w:r>
            <w:r w:rsidR="00924BF9">
              <w:t xml:space="preserve"> for </w:t>
            </w:r>
            <w:r>
              <w:t>day</w:t>
            </w:r>
            <w:r w:rsidR="00924BF9">
              <w:t xml:space="preserve"> camp</w:t>
            </w:r>
            <w:r>
              <w:t xml:space="preserve"> at </w:t>
            </w:r>
            <w:proofErr w:type="spellStart"/>
            <w:r>
              <w:t>Birragai</w:t>
            </w:r>
            <w:proofErr w:type="spellEnd"/>
            <w:r w:rsidR="002D3841">
              <w:t>.</w:t>
            </w:r>
          </w:p>
          <w:p w:rsidR="00924BF9" w:rsidRPr="000F0410" w:rsidRDefault="00A90180" w:rsidP="00481ED9">
            <w:pPr>
              <w:pStyle w:val="TableBodyLeft"/>
            </w:pPr>
            <w:r>
              <w:t>‘</w:t>
            </w:r>
            <w:r w:rsidR="00924BF9">
              <w:t>C</w:t>
            </w:r>
            <w:r>
              <w:t xml:space="preserve">ome see celebrate ‘event will be larger the 2018 inaugural year with possible </w:t>
            </w:r>
            <w:r w:rsidR="00E33903">
              <w:t>fund-raising</w:t>
            </w:r>
            <w:r>
              <w:t xml:space="preserve"> opportunities as well as expanded community connections</w:t>
            </w:r>
            <w:r w:rsidR="002D3841">
              <w:t>.</w:t>
            </w:r>
            <w:r>
              <w:t xml:space="preserve"> </w:t>
            </w:r>
          </w:p>
        </w:tc>
        <w:tc>
          <w:tcPr>
            <w:tcW w:w="3524" w:type="dxa"/>
            <w:shd w:val="clear" w:color="auto" w:fill="auto"/>
          </w:tcPr>
          <w:p w:rsidR="00E33903" w:rsidRDefault="00A90180" w:rsidP="00481ED9">
            <w:pPr>
              <w:pStyle w:val="TableBodyLeft"/>
            </w:pPr>
            <w:r>
              <w:t>Students will attend camp and have success with inclusion buddies.</w:t>
            </w:r>
          </w:p>
          <w:p w:rsidR="00E33903" w:rsidRDefault="00A90180" w:rsidP="00481ED9">
            <w:pPr>
              <w:pStyle w:val="TableBodyLeft"/>
            </w:pPr>
            <w:r>
              <w:t xml:space="preserve">School profile will be </w:t>
            </w:r>
            <w:r w:rsidR="00E33903">
              <w:t>raised,</w:t>
            </w:r>
            <w:r>
              <w:t xml:space="preserve"> and community partnerships enhanced.</w:t>
            </w:r>
          </w:p>
          <w:p w:rsidR="00A90180" w:rsidRDefault="00A90180" w:rsidP="00481ED9">
            <w:pPr>
              <w:pStyle w:val="TableBodyLeft"/>
            </w:pPr>
            <w:r>
              <w:t>G</w:t>
            </w:r>
            <w:r w:rsidR="00E33903">
              <w:t>re</w:t>
            </w:r>
            <w:r>
              <w:t>ater funding and support for students.</w:t>
            </w:r>
          </w:p>
          <w:p w:rsidR="00A90180" w:rsidRDefault="00A90180" w:rsidP="00481ED9">
            <w:pPr>
              <w:pStyle w:val="TableBodyLeft"/>
            </w:pPr>
            <w:r>
              <w:t xml:space="preserve">Further </w:t>
            </w:r>
            <w:r w:rsidR="00E33903">
              <w:t>upgrades</w:t>
            </w:r>
            <w:r>
              <w:t xml:space="preserve"> possible to </w:t>
            </w:r>
            <w:r w:rsidR="00E33903">
              <w:t>enhance</w:t>
            </w:r>
            <w:r>
              <w:t xml:space="preserve"> th</w:t>
            </w:r>
            <w:r w:rsidR="00E33903">
              <w:t>e learning</w:t>
            </w:r>
            <w:r>
              <w:t xml:space="preserve"> </w:t>
            </w:r>
            <w:r w:rsidR="00E33903">
              <w:t>environment.</w:t>
            </w:r>
          </w:p>
          <w:p w:rsidR="00A90180" w:rsidRPr="000F0410" w:rsidRDefault="00A90180" w:rsidP="00481ED9">
            <w:pPr>
              <w:pStyle w:val="TableBodyLeft"/>
            </w:pPr>
            <w:r>
              <w:t xml:space="preserve">Greater </w:t>
            </w:r>
            <w:r w:rsidR="00E33903">
              <w:t>volunteer</w:t>
            </w:r>
            <w:r>
              <w:t xml:space="preserve"> </w:t>
            </w:r>
            <w:r w:rsidR="00D4326D">
              <w:t>involvement</w:t>
            </w:r>
            <w:r w:rsidR="00E33903">
              <w:t>.</w:t>
            </w:r>
            <w:r>
              <w:t xml:space="preserve"> </w:t>
            </w:r>
          </w:p>
        </w:tc>
      </w:tr>
      <w:tr w:rsidR="0056465F" w:rsidTr="00481ED9">
        <w:trPr>
          <w:jc w:val="center"/>
        </w:trPr>
        <w:tc>
          <w:tcPr>
            <w:tcW w:w="14096" w:type="dxa"/>
            <w:gridSpan w:val="4"/>
            <w:shd w:val="clear" w:color="auto" w:fill="auto"/>
          </w:tcPr>
          <w:p w:rsidR="0056465F" w:rsidRDefault="0056465F" w:rsidP="00481ED9">
            <w:pPr>
              <w:pStyle w:val="TableBodyLeft"/>
              <w:rPr>
                <w:color w:val="000000" w:themeColor="text1"/>
              </w:rPr>
            </w:pPr>
            <w:r w:rsidRPr="00194DF6">
              <w:rPr>
                <w:b/>
                <w:color w:val="000000" w:themeColor="text1"/>
              </w:rPr>
              <w:t>ACTION</w:t>
            </w:r>
            <w:r w:rsidRPr="006F350C">
              <w:rPr>
                <w:color w:val="000000" w:themeColor="text1"/>
              </w:rPr>
              <w:t xml:space="preserve">: </w:t>
            </w:r>
            <w:r w:rsidR="00A4387C">
              <w:rPr>
                <w:color w:val="000000" w:themeColor="text1"/>
              </w:rPr>
              <w:t>Plan and investigate how the PBL model aligns with Cranleigh CORE values and how and when implementation is delivered</w:t>
            </w:r>
          </w:p>
        </w:tc>
      </w:tr>
      <w:tr w:rsidR="0056465F" w:rsidRPr="000F0410" w:rsidTr="00481ED9">
        <w:trPr>
          <w:jc w:val="center"/>
        </w:trPr>
        <w:tc>
          <w:tcPr>
            <w:tcW w:w="3524" w:type="dxa"/>
            <w:shd w:val="clear" w:color="auto" w:fill="auto"/>
          </w:tcPr>
          <w:p w:rsidR="0056465F" w:rsidRDefault="0056465F" w:rsidP="00A4387C">
            <w:pPr>
              <w:pStyle w:val="DotPointLVL1"/>
              <w:numPr>
                <w:ilvl w:val="0"/>
                <w:numId w:val="0"/>
              </w:numPr>
            </w:pPr>
            <w:r w:rsidRPr="0056465F">
              <w:t>PBL External Coach</w:t>
            </w:r>
          </w:p>
          <w:p w:rsidR="0056465F" w:rsidRPr="0056465F" w:rsidRDefault="0056465F" w:rsidP="00A4387C">
            <w:pPr>
              <w:pStyle w:val="DotPointLVL1"/>
              <w:numPr>
                <w:ilvl w:val="0"/>
                <w:numId w:val="0"/>
              </w:numPr>
            </w:pPr>
            <w:r w:rsidRPr="0056465F">
              <w:t>Time allocations</w:t>
            </w:r>
          </w:p>
          <w:p w:rsidR="0056465F" w:rsidRPr="000F0410" w:rsidRDefault="0056465F" w:rsidP="00A4387C">
            <w:pPr>
              <w:pStyle w:val="TableBodyLeft"/>
            </w:pPr>
            <w:r w:rsidRPr="0056465F">
              <w:rPr>
                <w:rFonts w:eastAsiaTheme="minorHAnsi" w:cstheme="minorBidi"/>
                <w:lang w:val="en-AU"/>
              </w:rPr>
              <w:t>PBL budget</w:t>
            </w:r>
          </w:p>
        </w:tc>
        <w:tc>
          <w:tcPr>
            <w:tcW w:w="3524" w:type="dxa"/>
            <w:shd w:val="clear" w:color="auto" w:fill="auto"/>
          </w:tcPr>
          <w:p w:rsidR="00A4387C" w:rsidRDefault="0056465F" w:rsidP="0056465F">
            <w:pPr>
              <w:spacing w:after="160" w:line="259" w:lineRule="auto"/>
              <w:rPr>
                <w:rFonts w:eastAsia="Times New Roman" w:cs="Times New Roman"/>
                <w:lang w:val="en-US"/>
              </w:rPr>
            </w:pPr>
            <w:r>
              <w:rPr>
                <w:rFonts w:eastAsia="Times New Roman" w:cs="Times New Roman"/>
                <w:lang w:val="en-US"/>
              </w:rPr>
              <w:t>Leadership Team</w:t>
            </w:r>
            <w:r w:rsidR="00D4326D">
              <w:rPr>
                <w:rFonts w:eastAsia="Times New Roman" w:cs="Times New Roman"/>
                <w:lang w:val="en-US"/>
              </w:rPr>
              <w:t xml:space="preserve"> (Led by DP -Cathy)</w:t>
            </w:r>
          </w:p>
          <w:p w:rsidR="0056465F" w:rsidRPr="0056465F" w:rsidRDefault="0056465F" w:rsidP="0056465F">
            <w:pPr>
              <w:spacing w:after="160" w:line="259" w:lineRule="auto"/>
              <w:rPr>
                <w:rFonts w:eastAsia="Times New Roman" w:cs="Times New Roman"/>
                <w:lang w:val="en-US"/>
              </w:rPr>
            </w:pPr>
            <w:r w:rsidRPr="0056465F">
              <w:rPr>
                <w:rFonts w:eastAsia="Times New Roman" w:cs="Times New Roman"/>
                <w:lang w:val="en-US"/>
              </w:rPr>
              <w:t>PBL Committee</w:t>
            </w:r>
          </w:p>
          <w:p w:rsidR="0056465F" w:rsidRPr="000F0410" w:rsidRDefault="0056465F" w:rsidP="00481ED9">
            <w:pPr>
              <w:pStyle w:val="TableBodyLeft"/>
            </w:pPr>
          </w:p>
        </w:tc>
        <w:tc>
          <w:tcPr>
            <w:tcW w:w="3524" w:type="dxa"/>
            <w:shd w:val="clear" w:color="auto" w:fill="auto"/>
          </w:tcPr>
          <w:p w:rsidR="0056465F" w:rsidRPr="000F0410" w:rsidRDefault="0056465F" w:rsidP="00481ED9">
            <w:pPr>
              <w:pStyle w:val="TableBodyLeft"/>
            </w:pPr>
            <w:r>
              <w:t>PBL model has more than 80% uptake from staff</w:t>
            </w:r>
            <w:r w:rsidR="002D3841">
              <w:t>.</w:t>
            </w:r>
          </w:p>
        </w:tc>
        <w:tc>
          <w:tcPr>
            <w:tcW w:w="3524" w:type="dxa"/>
            <w:shd w:val="clear" w:color="auto" w:fill="auto"/>
          </w:tcPr>
          <w:p w:rsidR="0056465F" w:rsidRPr="000F0410" w:rsidRDefault="0056465F" w:rsidP="00481ED9">
            <w:pPr>
              <w:pStyle w:val="TableBodyLeft"/>
            </w:pPr>
            <w:r>
              <w:t xml:space="preserve">Staff are </w:t>
            </w:r>
            <w:r w:rsidR="00BD1FBD">
              <w:t>aware</w:t>
            </w:r>
            <w:r>
              <w:t xml:space="preserve"> of the </w:t>
            </w:r>
            <w:r w:rsidR="00BD1FBD">
              <w:t>importance</w:t>
            </w:r>
            <w:r>
              <w:t xml:space="preserve"> and ben</w:t>
            </w:r>
            <w:r w:rsidR="00BD1FBD">
              <w:t xml:space="preserve">efits </w:t>
            </w:r>
            <w:r>
              <w:t xml:space="preserve">of PBL </w:t>
            </w:r>
            <w:r w:rsidR="00BD1FBD">
              <w:t>ready</w:t>
            </w:r>
            <w:r>
              <w:t xml:space="preserve"> for </w:t>
            </w:r>
            <w:r w:rsidR="00BD1FBD">
              <w:t>implementation</w:t>
            </w:r>
            <w:r>
              <w:t xml:space="preserve"> (early phase) for 2020</w:t>
            </w:r>
            <w:r w:rsidR="001D627F">
              <w:t>.</w:t>
            </w:r>
          </w:p>
        </w:tc>
      </w:tr>
      <w:tr w:rsidR="0056465F" w:rsidTr="00481ED9">
        <w:trPr>
          <w:jc w:val="center"/>
        </w:trPr>
        <w:tc>
          <w:tcPr>
            <w:tcW w:w="14096" w:type="dxa"/>
            <w:gridSpan w:val="4"/>
            <w:shd w:val="clear" w:color="auto" w:fill="auto"/>
          </w:tcPr>
          <w:p w:rsidR="0056465F" w:rsidRDefault="0056465F" w:rsidP="00481ED9">
            <w:pPr>
              <w:pStyle w:val="TableBodyLeft"/>
              <w:rPr>
                <w:color w:val="000000" w:themeColor="text1"/>
              </w:rPr>
            </w:pPr>
            <w:r w:rsidRPr="00194DF6">
              <w:rPr>
                <w:b/>
                <w:color w:val="000000" w:themeColor="text1"/>
              </w:rPr>
              <w:t>ACTION</w:t>
            </w:r>
            <w:r w:rsidRPr="006F350C">
              <w:rPr>
                <w:color w:val="000000" w:themeColor="text1"/>
              </w:rPr>
              <w:t xml:space="preserve">: </w:t>
            </w:r>
            <w:r w:rsidR="00AE3459" w:rsidRPr="00976735">
              <w:t xml:space="preserve">Develop and implement a whole of school approach to enhance staff wellbeing </w:t>
            </w:r>
          </w:p>
        </w:tc>
      </w:tr>
      <w:tr w:rsidR="0056465F" w:rsidRPr="000F0410" w:rsidTr="00481ED9">
        <w:trPr>
          <w:jc w:val="center"/>
        </w:trPr>
        <w:tc>
          <w:tcPr>
            <w:tcW w:w="3524" w:type="dxa"/>
            <w:shd w:val="clear" w:color="auto" w:fill="auto"/>
          </w:tcPr>
          <w:p w:rsidR="00BD1FBD" w:rsidRPr="00BD1FBD" w:rsidRDefault="00A4387C" w:rsidP="00A4387C">
            <w:pPr>
              <w:spacing w:after="160" w:line="259" w:lineRule="auto"/>
              <w:contextualSpacing/>
            </w:pPr>
            <w:r>
              <w:t>E</w:t>
            </w:r>
            <w:r w:rsidR="00BD1FBD" w:rsidRPr="00BD1FBD">
              <w:t>ngaging an ESO service for a specific support</w:t>
            </w:r>
            <w:r w:rsidR="00BD1FBD">
              <w:t xml:space="preserve"> (</w:t>
            </w:r>
            <w:r>
              <w:t>Complex</w:t>
            </w:r>
            <w:r w:rsidR="00BD1FBD">
              <w:t xml:space="preserve"> </w:t>
            </w:r>
            <w:r w:rsidR="00CF178B">
              <w:t xml:space="preserve">Management </w:t>
            </w:r>
            <w:r w:rsidR="00BD1FBD">
              <w:t>Team)</w:t>
            </w:r>
          </w:p>
          <w:p w:rsidR="0056465F" w:rsidRDefault="00AE3459" w:rsidP="00A4387C">
            <w:pPr>
              <w:contextualSpacing/>
            </w:pPr>
            <w:r>
              <w:t>Employee assistance programs</w:t>
            </w:r>
          </w:p>
          <w:p w:rsidR="00AE3459" w:rsidRDefault="00AE3459" w:rsidP="00A4387C">
            <w:pPr>
              <w:contextualSpacing/>
            </w:pPr>
            <w:r>
              <w:t>Wellbeing survey</w:t>
            </w:r>
          </w:p>
          <w:p w:rsidR="00AE3459" w:rsidRDefault="00AE3459" w:rsidP="00A4387C">
            <w:pPr>
              <w:contextualSpacing/>
            </w:pPr>
            <w:r>
              <w:t xml:space="preserve">SSSD </w:t>
            </w:r>
          </w:p>
          <w:p w:rsidR="00AE3459" w:rsidRPr="000F0410" w:rsidRDefault="00AE3459" w:rsidP="00A4387C">
            <w:pPr>
              <w:contextualSpacing/>
            </w:pPr>
            <w:r>
              <w:t>Wellbeing budget</w:t>
            </w:r>
          </w:p>
        </w:tc>
        <w:tc>
          <w:tcPr>
            <w:tcW w:w="3524" w:type="dxa"/>
            <w:shd w:val="clear" w:color="auto" w:fill="auto"/>
          </w:tcPr>
          <w:p w:rsidR="00AE3459" w:rsidRDefault="00AE3459" w:rsidP="00481ED9">
            <w:pPr>
              <w:pStyle w:val="TableBodyLeft"/>
            </w:pPr>
            <w:r>
              <w:t>DP (K</w:t>
            </w:r>
            <w:r w:rsidR="00D4326D">
              <w:t>yrie</w:t>
            </w:r>
            <w:r>
              <w:t>)</w:t>
            </w:r>
          </w:p>
          <w:p w:rsidR="0056465F" w:rsidRDefault="00BD1FBD" w:rsidP="00481ED9">
            <w:pPr>
              <w:pStyle w:val="TableBodyLeft"/>
            </w:pPr>
            <w:r>
              <w:t xml:space="preserve">Staff Wellbeing </w:t>
            </w:r>
            <w:r w:rsidR="00A4387C">
              <w:t>Committee</w:t>
            </w:r>
          </w:p>
          <w:p w:rsidR="00327225" w:rsidRPr="000F0410" w:rsidRDefault="00327225" w:rsidP="00481ED9">
            <w:pPr>
              <w:pStyle w:val="TableBodyLeft"/>
            </w:pPr>
            <w:r>
              <w:t>P&amp;C</w:t>
            </w:r>
          </w:p>
        </w:tc>
        <w:tc>
          <w:tcPr>
            <w:tcW w:w="3524" w:type="dxa"/>
            <w:shd w:val="clear" w:color="auto" w:fill="auto"/>
          </w:tcPr>
          <w:p w:rsidR="0056465F" w:rsidRDefault="00327225" w:rsidP="00481ED9">
            <w:pPr>
              <w:pStyle w:val="TableBodyLeft"/>
            </w:pPr>
            <w:r>
              <w:t>Wellbeing wall (staffroom)</w:t>
            </w:r>
            <w:r w:rsidR="002D3841">
              <w:t>.</w:t>
            </w:r>
          </w:p>
          <w:p w:rsidR="00327225" w:rsidRDefault="00327225" w:rsidP="00481ED9">
            <w:pPr>
              <w:pStyle w:val="TableBodyLeft"/>
            </w:pPr>
            <w:r>
              <w:t>Wellbeing walks timetables in to meeting agenda</w:t>
            </w:r>
            <w:r w:rsidR="002D3841">
              <w:t>.</w:t>
            </w:r>
          </w:p>
          <w:p w:rsidR="00327225" w:rsidRDefault="00327225" w:rsidP="00481ED9">
            <w:pPr>
              <w:pStyle w:val="TableBodyLeft"/>
            </w:pPr>
            <w:r>
              <w:t>Remodel of staff room</w:t>
            </w:r>
            <w:r w:rsidR="002D3841">
              <w:t>.</w:t>
            </w:r>
          </w:p>
          <w:p w:rsidR="00327225" w:rsidRPr="000F0410" w:rsidRDefault="00327225" w:rsidP="00481ED9">
            <w:pPr>
              <w:pStyle w:val="TableBodyLeft"/>
            </w:pPr>
          </w:p>
        </w:tc>
        <w:tc>
          <w:tcPr>
            <w:tcW w:w="3524" w:type="dxa"/>
            <w:shd w:val="clear" w:color="auto" w:fill="auto"/>
          </w:tcPr>
          <w:p w:rsidR="0056465F" w:rsidRDefault="00327225" w:rsidP="00481ED9">
            <w:pPr>
              <w:pStyle w:val="TableBodyLeft"/>
            </w:pPr>
            <w:r>
              <w:t>Improved data (SSSD/</w:t>
            </w:r>
            <w:r w:rsidR="00E33903">
              <w:t>Wellbeing</w:t>
            </w:r>
            <w:r>
              <w:t>)</w:t>
            </w:r>
            <w:r w:rsidR="002D3841">
              <w:t>.</w:t>
            </w:r>
          </w:p>
          <w:p w:rsidR="00327225" w:rsidRDefault="00327225" w:rsidP="00481ED9">
            <w:pPr>
              <w:pStyle w:val="TableBodyLeft"/>
            </w:pPr>
            <w:r>
              <w:t>Decrease in Riskman (especially physiological) and negative SAS data</w:t>
            </w:r>
            <w:r w:rsidR="002D3841">
              <w:t>.</w:t>
            </w:r>
          </w:p>
          <w:p w:rsidR="00327225" w:rsidRPr="000F0410" w:rsidRDefault="00327225" w:rsidP="00481ED9">
            <w:pPr>
              <w:pStyle w:val="TableBodyLeft"/>
            </w:pPr>
            <w:r>
              <w:t>Decrease in staff absences/greater consistency for students</w:t>
            </w:r>
            <w:r w:rsidR="002D3841">
              <w:t>.</w:t>
            </w:r>
            <w:bookmarkStart w:id="3" w:name="_GoBack"/>
            <w:bookmarkEnd w:id="3"/>
          </w:p>
        </w:tc>
      </w:tr>
    </w:tbl>
    <w:p w:rsidR="00155F05" w:rsidRPr="000F0410" w:rsidRDefault="00155F05" w:rsidP="00155F05">
      <w:pPr>
        <w:pStyle w:val="BodyText"/>
        <w:sectPr w:rsidR="00155F05" w:rsidRPr="000F0410" w:rsidSect="001D627F">
          <w:headerReference w:type="default" r:id="rId14"/>
          <w:pgSz w:w="16838" w:h="11906" w:orient="landscape"/>
          <w:pgMar w:top="1440" w:right="1440" w:bottom="1276" w:left="1440" w:header="708" w:footer="708" w:gutter="0"/>
          <w:cols w:space="708"/>
          <w:docGrid w:linePitch="360"/>
        </w:sectPr>
      </w:pPr>
    </w:p>
    <w:p w:rsidR="008E63DF" w:rsidRPr="001D627F" w:rsidRDefault="008E63DF" w:rsidP="001D627F">
      <w:pPr>
        <w:pStyle w:val="BodyText"/>
        <w:rPr>
          <w:sz w:val="4"/>
          <w:szCs w:val="4"/>
        </w:rPr>
      </w:pPr>
    </w:p>
    <w:sectPr w:rsidR="008E63DF" w:rsidRPr="001D627F" w:rsidSect="004C0FDB">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4F" w:rsidRDefault="009371B7">
      <w:pPr>
        <w:spacing w:after="0" w:line="240" w:lineRule="auto"/>
      </w:pPr>
      <w:r>
        <w:separator/>
      </w:r>
    </w:p>
  </w:endnote>
  <w:endnote w:type="continuationSeparator" w:id="0">
    <w:p w:rsidR="00162D4F" w:rsidRDefault="0093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00BF488D" w:rsidRPr="00BF488D" w:rsidRDefault="00BF488D" w:rsidP="00834B80">
        <w:pPr>
          <w:pStyle w:val="Footer"/>
          <w:tabs>
            <w:tab w:val="clear" w:pos="4513"/>
            <w:tab w:val="clear" w:pos="9026"/>
            <w:tab w:val="center" w:pos="6237"/>
            <w:tab w:val="right" w:pos="9781"/>
          </w:tabs>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212223">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212223">
          <w:rPr>
            <w:rFonts w:ascii="Arial" w:hAnsi="Arial" w:cs="Arial"/>
            <w:color w:val="808080" w:themeColor="background1" w:themeShade="80"/>
            <w:sz w:val="20"/>
            <w:szCs w:val="20"/>
          </w:rPr>
          <w:t xml:space="preserve"> </w:t>
        </w:r>
        <w:r w:rsidR="00212223">
          <w:rPr>
            <w:rFonts w:ascii="Arial" w:hAnsi="Arial" w:cs="Arial"/>
            <w:color w:val="808080" w:themeColor="background1" w:themeShade="80"/>
            <w:sz w:val="20"/>
            <w:szCs w:val="20"/>
          </w:rPr>
          <w:fldChar w:fldCharType="begin"/>
        </w:r>
        <w:r w:rsidR="00212223">
          <w:rPr>
            <w:rFonts w:ascii="Arial" w:hAnsi="Arial" w:cs="Arial"/>
            <w:color w:val="808080" w:themeColor="background1" w:themeShade="80"/>
            <w:sz w:val="20"/>
            <w:szCs w:val="20"/>
          </w:rPr>
          <w:instrText xml:space="preserve"> SAVEDATE  \@ "dddd, d MMMM yyyy"  \* MERGEFORMAT </w:instrText>
        </w:r>
        <w:r w:rsidR="00212223">
          <w:rPr>
            <w:rFonts w:ascii="Arial" w:hAnsi="Arial" w:cs="Arial"/>
            <w:color w:val="808080" w:themeColor="background1" w:themeShade="80"/>
            <w:sz w:val="20"/>
            <w:szCs w:val="20"/>
          </w:rPr>
          <w:fldChar w:fldCharType="separate"/>
        </w:r>
        <w:r w:rsidR="002D3841">
          <w:rPr>
            <w:rFonts w:ascii="Arial" w:hAnsi="Arial" w:cs="Arial"/>
            <w:noProof/>
            <w:color w:val="808080" w:themeColor="background1" w:themeShade="80"/>
            <w:sz w:val="20"/>
            <w:szCs w:val="20"/>
          </w:rPr>
          <w:t>Wednesday, 1 May 2019</w:t>
        </w:r>
        <w:r w:rsidR="00212223">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sidRPr="00BF488D">
          <w:rPr>
            <w:rFonts w:ascii="Arial" w:hAnsi="Arial" w:cs="Arial"/>
            <w:noProof/>
            <w:color w:val="808080" w:themeColor="background1" w:themeShade="80"/>
            <w:sz w:val="20"/>
            <w:szCs w:val="20"/>
          </w:rPr>
          <w:t>2</w:t>
        </w:r>
        <w:r w:rsidRPr="00BF488D">
          <w:rPr>
            <w:rFonts w:ascii="Arial" w:hAnsi="Arial" w:cs="Arial"/>
            <w:noProof/>
            <w:color w:val="808080" w:themeColor="background1" w:themeShade="80"/>
            <w:sz w:val="20"/>
            <w:szCs w:val="20"/>
          </w:rPr>
          <w:fldChar w:fldCharType="end"/>
        </w:r>
      </w:p>
    </w:sdtContent>
  </w:sdt>
  <w:p w:rsidR="00A76993" w:rsidRDefault="00E417F3" w:rsidP="000365E8">
    <w:pPr>
      <w:pStyle w:val="Footer"/>
      <w:jc w:val="center"/>
    </w:pPr>
    <w:r w:rsidRPr="00360329">
      <w:rPr>
        <w:rFonts w:ascii="Arial" w:hAnsi="Arial" w:cs="Arial"/>
        <w:b/>
        <w:sz w:val="18"/>
        <w:szCs w:val="18"/>
      </w:rPr>
      <w:t>Analysis</w:t>
    </w:r>
    <w:r w:rsidR="000365E8" w:rsidRPr="00D5105D">
      <w:rPr>
        <w:rFonts w:ascii="Arial" w:hAnsi="Arial" w:cs="Arial"/>
        <w:b/>
        <w:color w:val="000000" w:themeColor="text1"/>
        <w:sz w:val="18"/>
        <w:szCs w:val="18"/>
      </w:rPr>
      <w:t xml:space="preserve"> </w:t>
    </w:r>
    <w:r w:rsidR="000365E8" w:rsidRPr="00D5105D">
      <w:rPr>
        <w:rFonts w:ascii="Arial" w:hAnsi="Arial" w:cs="Arial"/>
        <w:b/>
        <w:color w:val="A6A6A6" w:themeColor="background1" w:themeShade="A6"/>
        <w:sz w:val="18"/>
        <w:szCs w:val="18"/>
      </w:rPr>
      <w:sym w:font="Wingdings" w:char="F0E0"/>
    </w:r>
    <w:r w:rsidR="000365E8" w:rsidRPr="00D5105D">
      <w:rPr>
        <w:rFonts w:ascii="Arial" w:hAnsi="Arial" w:cs="Arial"/>
        <w:b/>
        <w:color w:val="A6A6A6" w:themeColor="background1" w:themeShade="A6"/>
        <w:sz w:val="18"/>
        <w:szCs w:val="18"/>
      </w:rPr>
      <w:t xml:space="preserve"> </w:t>
    </w:r>
    <w:r w:rsidR="000365E8" w:rsidRPr="0068650D">
      <w:rPr>
        <w:rFonts w:ascii="Arial" w:hAnsi="Arial" w:cs="Arial"/>
        <w:b/>
        <w:sz w:val="18"/>
        <w:szCs w:val="18"/>
      </w:rPr>
      <w:t>Priorities</w:t>
    </w:r>
    <w:r w:rsidR="000365E8" w:rsidRPr="00D5105D">
      <w:rPr>
        <w:rFonts w:ascii="Arial" w:hAnsi="Arial" w:cs="Arial"/>
        <w:b/>
        <w:color w:val="FF0000"/>
        <w:sz w:val="24"/>
        <w:szCs w:val="18"/>
      </w:rPr>
      <w:t xml:space="preserve"> </w:t>
    </w:r>
    <w:r w:rsidR="000365E8" w:rsidRPr="00D5105D">
      <w:rPr>
        <w:rFonts w:ascii="Arial" w:hAnsi="Arial" w:cs="Arial"/>
        <w:b/>
        <w:color w:val="A6A6A6" w:themeColor="background1" w:themeShade="A6"/>
        <w:sz w:val="18"/>
        <w:szCs w:val="18"/>
      </w:rPr>
      <w:sym w:font="Wingdings" w:char="F0E0"/>
    </w:r>
    <w:r w:rsidR="000365E8" w:rsidRPr="00D5105D">
      <w:rPr>
        <w:rFonts w:ascii="Arial" w:hAnsi="Arial" w:cs="Arial"/>
        <w:b/>
        <w:color w:val="A6A6A6" w:themeColor="background1" w:themeShade="A6"/>
        <w:sz w:val="18"/>
        <w:szCs w:val="18"/>
      </w:rPr>
      <w:t xml:space="preserve"> </w:t>
    </w:r>
    <w:bookmarkStart w:id="1" w:name="_Hlk527701860"/>
    <w:r w:rsidR="00360329" w:rsidRPr="00360329">
      <w:rPr>
        <w:rFonts w:ascii="Arial" w:hAnsi="Arial" w:cs="Arial"/>
        <w:b/>
        <w:color w:val="FF0000"/>
        <w:sz w:val="24"/>
        <w:szCs w:val="18"/>
      </w:rPr>
      <w:t>STRATEGIES</w:t>
    </w:r>
    <w:r w:rsidR="00360329" w:rsidRPr="00360329">
      <w:rPr>
        <w:rFonts w:ascii="Arial" w:hAnsi="Arial" w:cs="Arial"/>
        <w:b/>
        <w:color w:val="A6A6A6" w:themeColor="background1" w:themeShade="A6"/>
        <w:sz w:val="18"/>
        <w:szCs w:val="18"/>
      </w:rPr>
      <w:t xml:space="preserve"> </w:t>
    </w:r>
    <w:r w:rsidR="000365E8" w:rsidRPr="00360329">
      <w:rPr>
        <w:rFonts w:ascii="Arial" w:hAnsi="Arial" w:cs="Arial"/>
        <w:b/>
        <w:color w:val="A6A6A6" w:themeColor="background1" w:themeShade="A6"/>
        <w:sz w:val="18"/>
        <w:szCs w:val="18"/>
      </w:rPr>
      <w:sym w:font="Wingdings" w:char="F0E0"/>
    </w:r>
    <w:bookmarkEnd w:id="1"/>
    <w:r w:rsidR="00360329" w:rsidRPr="00360329">
      <w:rPr>
        <w:rFonts w:ascii="Arial" w:hAnsi="Arial" w:cs="Arial"/>
        <w:b/>
        <w:color w:val="FF0000"/>
        <w:sz w:val="24"/>
        <w:szCs w:val="18"/>
      </w:rPr>
      <w:t xml:space="preserve"> ACTIONS</w:t>
    </w:r>
    <w:r w:rsidR="00360329" w:rsidRPr="00D5105D">
      <w:rPr>
        <w:rFonts w:ascii="Arial" w:hAnsi="Arial" w:cs="Arial"/>
        <w:b/>
        <w:color w:val="000000" w:themeColor="text1"/>
        <w:sz w:val="18"/>
        <w:szCs w:val="18"/>
      </w:rPr>
      <w:t xml:space="preserve"> </w:t>
    </w:r>
    <w:r w:rsidR="000365E8" w:rsidRPr="00D5105D">
      <w:rPr>
        <w:rFonts w:ascii="Arial" w:hAnsi="Arial" w:cs="Arial"/>
        <w:b/>
        <w:color w:val="A6A6A6" w:themeColor="background1" w:themeShade="A6"/>
        <w:sz w:val="18"/>
        <w:szCs w:val="18"/>
      </w:rPr>
      <w:sym w:font="Wingdings" w:char="F0E0"/>
    </w:r>
    <w:r w:rsidR="000365E8" w:rsidRPr="00D5105D">
      <w:rPr>
        <w:rFonts w:ascii="Arial" w:hAnsi="Arial" w:cs="Arial"/>
        <w:b/>
        <w:color w:val="A6A6A6" w:themeColor="background1" w:themeShade="A6"/>
        <w:sz w:val="18"/>
        <w:szCs w:val="18"/>
      </w:rPr>
      <w:t xml:space="preserve"> </w:t>
    </w:r>
    <w:r w:rsidR="000365E8" w:rsidRPr="00D5105D">
      <w:rPr>
        <w:b/>
        <w:sz w:val="18"/>
        <w:szCs w:val="18"/>
      </w:rPr>
      <w:t xml:space="preserve">Impact </w:t>
    </w:r>
    <w:r w:rsidR="000365E8" w:rsidRPr="00D5105D">
      <w:rPr>
        <w:b/>
        <w:sz w:val="16"/>
        <w:szCs w:val="16"/>
      </w:rPr>
      <w:t>(</w:t>
    </w:r>
    <w:r w:rsidR="000365E8">
      <w:rPr>
        <w:b/>
        <w:sz w:val="16"/>
        <w:szCs w:val="16"/>
      </w:rPr>
      <w:t xml:space="preserve">for </w:t>
    </w:r>
    <w:r w:rsidR="000365E8" w:rsidRPr="00D5105D">
      <w:rPr>
        <w:b/>
        <w:sz w:val="16"/>
        <w:szCs w:val="16"/>
      </w:rPr>
      <w:t>student)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4F" w:rsidRDefault="009371B7">
      <w:pPr>
        <w:spacing w:after="0" w:line="240" w:lineRule="auto"/>
      </w:pPr>
      <w:r>
        <w:separator/>
      </w:r>
    </w:p>
  </w:footnote>
  <w:footnote w:type="continuationSeparator" w:id="0">
    <w:p w:rsidR="00162D4F" w:rsidRDefault="0093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23" w:rsidRDefault="002122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F05" w:rsidRDefault="00155F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DF6" w:rsidRDefault="0019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399"/>
    <w:multiLevelType w:val="hybridMultilevel"/>
    <w:tmpl w:val="878A48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7445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843EF4"/>
    <w:multiLevelType w:val="hybridMultilevel"/>
    <w:tmpl w:val="8CECA880"/>
    <w:lvl w:ilvl="0" w:tplc="B6764FBC">
      <w:start w:val="1"/>
      <w:numFmt w:val="bullet"/>
      <w:lvlText w:val=""/>
      <w:lvlJc w:val="left"/>
      <w:pPr>
        <w:ind w:left="3621"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22CF0"/>
    <w:multiLevelType w:val="hybridMultilevel"/>
    <w:tmpl w:val="2D1E56AA"/>
    <w:lvl w:ilvl="0" w:tplc="0A4EAE10">
      <w:start w:val="1"/>
      <w:numFmt w:val="bullet"/>
      <w:pStyle w:val="DotPointLVL1"/>
      <w:lvlText w:val=""/>
      <w:lvlJc w:val="left"/>
      <w:pPr>
        <w:ind w:left="720" w:hanging="360"/>
      </w:pPr>
      <w:rPr>
        <w:rFonts w:ascii="Wingdings" w:hAnsi="Wingdings" w:hint="default"/>
        <w:color w:val="000000" w:themeColor="text1"/>
      </w:rPr>
    </w:lvl>
    <w:lvl w:ilvl="1" w:tplc="F906FDE0">
      <w:numFmt w:val="bullet"/>
      <w:pStyle w:val="DotPointLVL2"/>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D35B7"/>
    <w:multiLevelType w:val="multilevel"/>
    <w:tmpl w:val="F9049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9CA3CD2"/>
    <w:multiLevelType w:val="hybridMultilevel"/>
    <w:tmpl w:val="27FEB4F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6A2D5D"/>
    <w:multiLevelType w:val="hybridMultilevel"/>
    <w:tmpl w:val="E1122E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D1438"/>
    <w:multiLevelType w:val="hybridMultilevel"/>
    <w:tmpl w:val="D3B4485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AEF4885"/>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A28DE"/>
    <w:multiLevelType w:val="hybridMultilevel"/>
    <w:tmpl w:val="FEA00B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DB464F"/>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211EC0"/>
    <w:multiLevelType w:val="hybridMultilevel"/>
    <w:tmpl w:val="A148D7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0"/>
  </w:num>
  <w:num w:numId="5">
    <w:abstractNumId w:val="6"/>
  </w:num>
  <w:num w:numId="6">
    <w:abstractNumId w:val="21"/>
  </w:num>
  <w:num w:numId="7">
    <w:abstractNumId w:val="19"/>
  </w:num>
  <w:num w:numId="8">
    <w:abstractNumId w:val="12"/>
  </w:num>
  <w:num w:numId="9">
    <w:abstractNumId w:val="8"/>
  </w:num>
  <w:num w:numId="10">
    <w:abstractNumId w:val="18"/>
  </w:num>
  <w:num w:numId="11">
    <w:abstractNumId w:val="4"/>
  </w:num>
  <w:num w:numId="12">
    <w:abstractNumId w:val="22"/>
  </w:num>
  <w:num w:numId="13">
    <w:abstractNumId w:val="15"/>
  </w:num>
  <w:num w:numId="14">
    <w:abstractNumId w:val="11"/>
  </w:num>
  <w:num w:numId="15">
    <w:abstractNumId w:val="2"/>
  </w:num>
  <w:num w:numId="16">
    <w:abstractNumId w:val="13"/>
  </w:num>
  <w:num w:numId="17">
    <w:abstractNumId w:val="10"/>
  </w:num>
  <w:num w:numId="18">
    <w:abstractNumId w:val="17"/>
  </w:num>
  <w:num w:numId="19">
    <w:abstractNumId w:val="1"/>
  </w:num>
  <w:num w:numId="20">
    <w:abstractNumId w:val="24"/>
  </w:num>
  <w:num w:numId="21">
    <w:abstractNumId w:val="7"/>
  </w:num>
  <w:num w:numId="22">
    <w:abstractNumId w:val="7"/>
  </w:num>
  <w:num w:numId="23">
    <w:abstractNumId w:val="9"/>
  </w:num>
  <w:num w:numId="24">
    <w:abstractNumId w:val="7"/>
  </w:num>
  <w:num w:numId="25">
    <w:abstractNumId w:val="14"/>
  </w:num>
  <w:num w:numId="26">
    <w:abstractNumId w:val="25"/>
  </w:num>
  <w:num w:numId="27">
    <w:abstractNumId w:val="0"/>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4B"/>
    <w:rsid w:val="000365E8"/>
    <w:rsid w:val="00054BEB"/>
    <w:rsid w:val="000747CE"/>
    <w:rsid w:val="000976F3"/>
    <w:rsid w:val="000A207B"/>
    <w:rsid w:val="000A5CCB"/>
    <w:rsid w:val="000B7DFC"/>
    <w:rsid w:val="000C1B4B"/>
    <w:rsid w:val="000F0410"/>
    <w:rsid w:val="00111DEF"/>
    <w:rsid w:val="00113AFB"/>
    <w:rsid w:val="0011620B"/>
    <w:rsid w:val="00141602"/>
    <w:rsid w:val="00152E6A"/>
    <w:rsid w:val="00155F05"/>
    <w:rsid w:val="00162782"/>
    <w:rsid w:val="00162D4F"/>
    <w:rsid w:val="00167147"/>
    <w:rsid w:val="00194DF6"/>
    <w:rsid w:val="001D627F"/>
    <w:rsid w:val="001F66F7"/>
    <w:rsid w:val="00202220"/>
    <w:rsid w:val="00212223"/>
    <w:rsid w:val="00217CF8"/>
    <w:rsid w:val="00235B19"/>
    <w:rsid w:val="0024064C"/>
    <w:rsid w:val="00241A3C"/>
    <w:rsid w:val="0029006B"/>
    <w:rsid w:val="002A177D"/>
    <w:rsid w:val="002A71DD"/>
    <w:rsid w:val="002C213B"/>
    <w:rsid w:val="002D23A5"/>
    <w:rsid w:val="002D3841"/>
    <w:rsid w:val="002E791B"/>
    <w:rsid w:val="00301550"/>
    <w:rsid w:val="00316F41"/>
    <w:rsid w:val="00325F62"/>
    <w:rsid w:val="00327225"/>
    <w:rsid w:val="00360329"/>
    <w:rsid w:val="00364E7F"/>
    <w:rsid w:val="00366E12"/>
    <w:rsid w:val="00381B03"/>
    <w:rsid w:val="003B674C"/>
    <w:rsid w:val="003C0EEB"/>
    <w:rsid w:val="003C346B"/>
    <w:rsid w:val="003D70FC"/>
    <w:rsid w:val="003E745B"/>
    <w:rsid w:val="00430D77"/>
    <w:rsid w:val="00460F6D"/>
    <w:rsid w:val="0047385D"/>
    <w:rsid w:val="004746DD"/>
    <w:rsid w:val="00490804"/>
    <w:rsid w:val="004B386E"/>
    <w:rsid w:val="004E3289"/>
    <w:rsid w:val="00541E37"/>
    <w:rsid w:val="0056465F"/>
    <w:rsid w:val="00566883"/>
    <w:rsid w:val="00574285"/>
    <w:rsid w:val="005834C3"/>
    <w:rsid w:val="0058561F"/>
    <w:rsid w:val="005D3A8D"/>
    <w:rsid w:val="005E4EB7"/>
    <w:rsid w:val="005E6F78"/>
    <w:rsid w:val="005F3E84"/>
    <w:rsid w:val="006006D3"/>
    <w:rsid w:val="006023F3"/>
    <w:rsid w:val="00616AD7"/>
    <w:rsid w:val="006B6111"/>
    <w:rsid w:val="006D7615"/>
    <w:rsid w:val="006E3C0D"/>
    <w:rsid w:val="006F350C"/>
    <w:rsid w:val="0070399A"/>
    <w:rsid w:val="00714AD6"/>
    <w:rsid w:val="007235B1"/>
    <w:rsid w:val="00733CE5"/>
    <w:rsid w:val="00757C87"/>
    <w:rsid w:val="00777436"/>
    <w:rsid w:val="007C347E"/>
    <w:rsid w:val="007D0237"/>
    <w:rsid w:val="007E3835"/>
    <w:rsid w:val="007F1E09"/>
    <w:rsid w:val="0080461F"/>
    <w:rsid w:val="00816FBD"/>
    <w:rsid w:val="00825280"/>
    <w:rsid w:val="00834B80"/>
    <w:rsid w:val="00844C21"/>
    <w:rsid w:val="00861FB6"/>
    <w:rsid w:val="0088112B"/>
    <w:rsid w:val="00882120"/>
    <w:rsid w:val="008A5E4E"/>
    <w:rsid w:val="008B1932"/>
    <w:rsid w:val="008D1D8D"/>
    <w:rsid w:val="008D6735"/>
    <w:rsid w:val="008E2285"/>
    <w:rsid w:val="008E63DF"/>
    <w:rsid w:val="00905E50"/>
    <w:rsid w:val="009238BE"/>
    <w:rsid w:val="00924BF9"/>
    <w:rsid w:val="009371B7"/>
    <w:rsid w:val="00946945"/>
    <w:rsid w:val="00966686"/>
    <w:rsid w:val="0098551B"/>
    <w:rsid w:val="009B3523"/>
    <w:rsid w:val="009E0943"/>
    <w:rsid w:val="00A214B7"/>
    <w:rsid w:val="00A4387C"/>
    <w:rsid w:val="00A76993"/>
    <w:rsid w:val="00A90180"/>
    <w:rsid w:val="00AD030C"/>
    <w:rsid w:val="00AE3459"/>
    <w:rsid w:val="00AF3B67"/>
    <w:rsid w:val="00AF4CC4"/>
    <w:rsid w:val="00B13A92"/>
    <w:rsid w:val="00B65F94"/>
    <w:rsid w:val="00B72D30"/>
    <w:rsid w:val="00BA52B3"/>
    <w:rsid w:val="00BC158B"/>
    <w:rsid w:val="00BC589B"/>
    <w:rsid w:val="00BD0F87"/>
    <w:rsid w:val="00BD1AE9"/>
    <w:rsid w:val="00BD1FBD"/>
    <w:rsid w:val="00BD2FF6"/>
    <w:rsid w:val="00BE64D6"/>
    <w:rsid w:val="00BF488D"/>
    <w:rsid w:val="00C301CB"/>
    <w:rsid w:val="00C43589"/>
    <w:rsid w:val="00C76FD1"/>
    <w:rsid w:val="00CE0B5D"/>
    <w:rsid w:val="00CF178B"/>
    <w:rsid w:val="00D22B30"/>
    <w:rsid w:val="00D4326D"/>
    <w:rsid w:val="00D764FF"/>
    <w:rsid w:val="00D76FF4"/>
    <w:rsid w:val="00DA0B62"/>
    <w:rsid w:val="00DB18B3"/>
    <w:rsid w:val="00DC2AD7"/>
    <w:rsid w:val="00DE1F0A"/>
    <w:rsid w:val="00E140FA"/>
    <w:rsid w:val="00E1724D"/>
    <w:rsid w:val="00E33903"/>
    <w:rsid w:val="00E417F3"/>
    <w:rsid w:val="00E557F0"/>
    <w:rsid w:val="00E64890"/>
    <w:rsid w:val="00EA7896"/>
    <w:rsid w:val="00ED7FAF"/>
    <w:rsid w:val="00EE3B84"/>
    <w:rsid w:val="00F10AAC"/>
    <w:rsid w:val="00F129F8"/>
    <w:rsid w:val="00F22811"/>
    <w:rsid w:val="00F42BBB"/>
    <w:rsid w:val="00F678BF"/>
    <w:rsid w:val="00F70E5D"/>
    <w:rsid w:val="00FA1F8E"/>
    <w:rsid w:val="00FC4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E3396E"/>
  <w15:docId w15:val="{EF50B62A-E9DA-49B0-BB31-BE21341A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74285"/>
  </w:style>
  <w:style w:type="paragraph" w:styleId="Heading1">
    <w:name w:val="heading 1"/>
    <w:basedOn w:val="Normal"/>
    <w:next w:val="Normal"/>
    <w:link w:val="Heading1Char"/>
    <w:uiPriority w:val="9"/>
    <w:qFormat/>
    <w:rsid w:val="00BC589B"/>
    <w:pPr>
      <w:keepNext/>
      <w:keepLines/>
      <w:spacing w:before="240" w:after="240" w:line="240" w:lineRule="auto"/>
      <w:outlineLvl w:val="0"/>
    </w:pPr>
    <w:rPr>
      <w:rFonts w:ascii="Arial" w:eastAsiaTheme="majorEastAsia" w:hAnsi="Arial" w:cs="Arial"/>
      <w:color w:val="1F4E79" w:themeColor="accent1" w:themeShade="80"/>
      <w:sz w:val="28"/>
      <w:szCs w:val="32"/>
    </w:rPr>
  </w:style>
  <w:style w:type="paragraph" w:styleId="Heading2">
    <w:name w:val="heading 2"/>
    <w:next w:val="BodyText"/>
    <w:link w:val="Heading2Char"/>
    <w:uiPriority w:val="9"/>
    <w:unhideWhenUsed/>
    <w:qFormat/>
    <w:rsid w:val="000F0410"/>
    <w:pPr>
      <w:keepNext/>
      <w:keepLines/>
      <w:spacing w:before="40" w:after="0"/>
      <w:outlineLvl w:val="1"/>
    </w:pPr>
    <w:rPr>
      <w:rFonts w:ascii="Arial" w:eastAsiaTheme="majorEastAsia" w:hAnsi="Arial" w:cs="Arial"/>
      <w:color w:val="1F4E79"/>
      <w:sz w:val="24"/>
      <w:szCs w:val="28"/>
    </w:rPr>
  </w:style>
  <w:style w:type="paragraph" w:styleId="Heading3">
    <w:name w:val="heading 3"/>
    <w:next w:val="BodyText"/>
    <w:link w:val="Heading3Char"/>
    <w:uiPriority w:val="9"/>
    <w:unhideWhenUsed/>
    <w:qFormat/>
    <w:rsid w:val="00162782"/>
    <w:pPr>
      <w:spacing w:before="240" w:after="120" w:line="240" w:lineRule="auto"/>
      <w:outlineLvl w:val="2"/>
    </w:pPr>
    <w:rPr>
      <w:rFonts w:ascii="Arial" w:eastAsia="Calibri" w:hAnsi="Arial" w:cs="Arial"/>
      <w:i/>
      <w:color w:val="1F4E79"/>
      <w:lang w:eastAsia="en-AU" w:bidi="en-AU"/>
    </w:rPr>
  </w:style>
  <w:style w:type="paragraph" w:styleId="Heading4">
    <w:name w:val="heading 4"/>
    <w:basedOn w:val="Heading3"/>
    <w:next w:val="Normal"/>
    <w:link w:val="Heading4Char"/>
    <w:uiPriority w:val="9"/>
    <w:unhideWhenUsed/>
    <w:qFormat/>
    <w:rsid w:val="000F041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89B"/>
    <w:rPr>
      <w:rFonts w:ascii="Arial" w:eastAsiaTheme="majorEastAsia" w:hAnsi="Arial" w:cs="Arial"/>
      <w:color w:val="1F4E79" w:themeColor="accent1" w:themeShade="80"/>
      <w:sz w:val="28"/>
      <w:szCs w:val="32"/>
    </w:rPr>
  </w:style>
  <w:style w:type="character" w:customStyle="1" w:styleId="Heading2Char">
    <w:name w:val="Heading 2 Char"/>
    <w:basedOn w:val="DefaultParagraphFont"/>
    <w:link w:val="Heading2"/>
    <w:uiPriority w:val="9"/>
    <w:rsid w:val="000F0410"/>
    <w:rPr>
      <w:rFonts w:ascii="Arial" w:eastAsiaTheme="majorEastAsia" w:hAnsi="Arial" w:cs="Arial"/>
      <w:color w:val="1F4E79"/>
      <w:sz w:val="24"/>
      <w:szCs w:val="28"/>
    </w:rPr>
  </w:style>
  <w:style w:type="character" w:customStyle="1" w:styleId="Heading3Char">
    <w:name w:val="Heading 3 Char"/>
    <w:basedOn w:val="DefaultParagraphFont"/>
    <w:link w:val="Heading3"/>
    <w:uiPriority w:val="9"/>
    <w:rsid w:val="00162782"/>
    <w:rPr>
      <w:rFonts w:ascii="Arial" w:eastAsia="Calibri" w:hAnsi="Arial" w:cs="Arial"/>
      <w:i/>
      <w:color w:val="1F4E79"/>
      <w:lang w:eastAsia="en-AU" w:bidi="en-AU"/>
    </w:rPr>
  </w:style>
  <w:style w:type="character" w:customStyle="1" w:styleId="Heading4Char">
    <w:name w:val="Heading 4 Char"/>
    <w:basedOn w:val="DefaultParagraphFont"/>
    <w:link w:val="Heading4"/>
    <w:uiPriority w:val="9"/>
    <w:rsid w:val="000F0410"/>
    <w:rPr>
      <w:rFonts w:ascii="Arial" w:eastAsia="Calibri" w:hAnsi="Arial" w:cs="Arial"/>
      <w:i/>
      <w:color w:val="1F4E79"/>
      <w:lang w:eastAsia="en-AU" w:bidi="en-AU"/>
    </w:rPr>
  </w:style>
  <w:style w:type="table" w:styleId="TableGrid">
    <w:name w:val="Table Grid"/>
    <w:basedOn w:val="TableNormal"/>
    <w:uiPriority w:val="59"/>
    <w:rsid w:val="000C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1B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1B4B"/>
    <w:rPr>
      <w:rFonts w:ascii="Calibri" w:hAnsi="Calibri" w:cs="Consolas"/>
      <w:szCs w:val="21"/>
    </w:rPr>
  </w:style>
  <w:style w:type="paragraph" w:styleId="Header">
    <w:name w:val="header"/>
    <w:basedOn w:val="Normal"/>
    <w:link w:val="HeaderChar"/>
    <w:uiPriority w:val="99"/>
    <w:unhideWhenUsed/>
    <w:rsid w:val="000C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B4B"/>
  </w:style>
  <w:style w:type="paragraph" w:styleId="Title">
    <w:name w:val="Title"/>
    <w:basedOn w:val="Normal"/>
    <w:next w:val="Normal"/>
    <w:link w:val="TitleChar"/>
    <w:uiPriority w:val="10"/>
    <w:qFormat/>
    <w:rsid w:val="000A207B"/>
    <w:pPr>
      <w:spacing w:after="600" w:line="240" w:lineRule="auto"/>
      <w:contextualSpacing/>
    </w:pPr>
    <w:rPr>
      <w:rFonts w:ascii="Arial" w:eastAsia="Calibri" w:hAnsi="Arial" w:cs="Arial"/>
      <w:sz w:val="48"/>
      <w:szCs w:val="48"/>
    </w:rPr>
  </w:style>
  <w:style w:type="character" w:customStyle="1" w:styleId="TitleChar">
    <w:name w:val="Title Char"/>
    <w:basedOn w:val="DefaultParagraphFont"/>
    <w:link w:val="Title"/>
    <w:uiPriority w:val="10"/>
    <w:rsid w:val="000A207B"/>
    <w:rPr>
      <w:rFonts w:ascii="Arial" w:eastAsia="Calibri" w:hAnsi="Arial" w:cs="Arial"/>
      <w:sz w:val="48"/>
      <w:szCs w:val="48"/>
    </w:rPr>
  </w:style>
  <w:style w:type="paragraph" w:styleId="BodyText">
    <w:name w:val="Body Text"/>
    <w:basedOn w:val="Normal"/>
    <w:link w:val="BodyTextChar"/>
    <w:uiPriority w:val="1"/>
    <w:qFormat/>
    <w:rsid w:val="00825280"/>
    <w:pPr>
      <w:widowControl w:val="0"/>
      <w:autoSpaceDE w:val="0"/>
      <w:autoSpaceDN w:val="0"/>
      <w:spacing w:after="12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825280"/>
    <w:rPr>
      <w:rFonts w:ascii="Calibri" w:eastAsia="Calibri" w:hAnsi="Calibri" w:cs="Calibri"/>
      <w:lang w:eastAsia="en-AU" w:bidi="en-AU"/>
    </w:rPr>
  </w:style>
  <w:style w:type="paragraph" w:customStyle="1" w:styleId="DotPointLVL1">
    <w:name w:val="Dot Point LVL1"/>
    <w:basedOn w:val="Normal"/>
    <w:qFormat/>
    <w:rsid w:val="000A207B"/>
    <w:pPr>
      <w:numPr>
        <w:numId w:val="1"/>
      </w:numPr>
      <w:contextualSpacing/>
    </w:pPr>
  </w:style>
  <w:style w:type="paragraph" w:customStyle="1" w:styleId="TableBodyLeft">
    <w:name w:val="TableBodyLeft"/>
    <w:rsid w:val="000C1B4B"/>
    <w:rPr>
      <w:rFonts w:eastAsia="Times New Roman" w:cs="Times New Roman"/>
      <w:lang w:val="en-US"/>
    </w:rPr>
  </w:style>
  <w:style w:type="paragraph" w:customStyle="1" w:styleId="TableColumnHeaderLeft">
    <w:name w:val="TableColumnHeaderLeft"/>
    <w:next w:val="BodyText"/>
    <w:rsid w:val="000C1B4B"/>
    <w:pPr>
      <w:spacing w:after="0" w:line="240" w:lineRule="auto"/>
    </w:pPr>
    <w:rPr>
      <w:rFonts w:ascii="Arial" w:eastAsia="Times New Roman" w:hAnsi="Arial" w:cs="Times New Roman"/>
      <w:color w:val="FFFFFF" w:themeColor="background1"/>
      <w:lang w:val="en-US"/>
    </w:rPr>
  </w:style>
  <w:style w:type="paragraph" w:customStyle="1" w:styleId="NumberedList">
    <w:name w:val="Numbered List"/>
    <w:basedOn w:val="Normal"/>
    <w:qFormat/>
    <w:rsid w:val="000F0410"/>
    <w:pPr>
      <w:numPr>
        <w:numId w:val="16"/>
      </w:numPr>
      <w:ind w:left="357" w:hanging="357"/>
    </w:pPr>
  </w:style>
  <w:style w:type="paragraph" w:styleId="BalloonText">
    <w:name w:val="Balloon Text"/>
    <w:basedOn w:val="Normal"/>
    <w:link w:val="BalloonTextChar"/>
    <w:uiPriority w:val="99"/>
    <w:semiHidden/>
    <w:unhideWhenUsed/>
    <w:rsid w:val="009B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23"/>
    <w:rPr>
      <w:rFonts w:ascii="Segoe UI" w:hAnsi="Segoe UI" w:cs="Segoe UI"/>
      <w:sz w:val="18"/>
      <w:szCs w:val="18"/>
    </w:rPr>
  </w:style>
  <w:style w:type="character" w:customStyle="1" w:styleId="SchoolName">
    <w:name w:val="SchoolName"/>
    <w:basedOn w:val="TitleChar"/>
    <w:uiPriority w:val="1"/>
    <w:rsid w:val="0029006B"/>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BA52B3"/>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BA52B3"/>
    <w:rPr>
      <w:rFonts w:ascii="Arial" w:eastAsiaTheme="minorEastAsia" w:hAnsi="Arial" w:cs="Arial"/>
      <w:color w:val="000000" w:themeColor="text1"/>
      <w:spacing w:val="15"/>
    </w:rPr>
  </w:style>
  <w:style w:type="paragraph" w:styleId="Footer">
    <w:name w:val="footer"/>
    <w:basedOn w:val="Normal"/>
    <w:link w:val="FooterChar"/>
    <w:uiPriority w:val="99"/>
    <w:unhideWhenUsed/>
    <w:rsid w:val="00460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F6D"/>
  </w:style>
  <w:style w:type="paragraph" w:customStyle="1" w:styleId="DotPointLVL2">
    <w:name w:val="Dot Point LVL2"/>
    <w:basedOn w:val="Normal"/>
    <w:qFormat/>
    <w:rsid w:val="000A207B"/>
    <w:pPr>
      <w:numPr>
        <w:ilvl w:val="1"/>
        <w:numId w:val="1"/>
      </w:numPr>
      <w:contextualSpacing/>
    </w:pPr>
    <w:rPr>
      <w:rFonts w:ascii="Calibri" w:eastAsia="Calibri" w:hAnsi="Calibri" w:cs="Calibri"/>
      <w:i/>
      <w:lang w:eastAsia="en-AU" w:bidi="en-AU"/>
    </w:rPr>
  </w:style>
  <w:style w:type="character" w:styleId="PlaceholderText">
    <w:name w:val="Placeholder Text"/>
    <w:basedOn w:val="DefaultParagraphFont"/>
    <w:uiPriority w:val="99"/>
    <w:semiHidden/>
    <w:rsid w:val="00BF488D"/>
    <w:rPr>
      <w:color w:val="808080"/>
    </w:rPr>
  </w:style>
  <w:style w:type="paragraph" w:styleId="ListParagraph">
    <w:name w:val="List Paragraph"/>
    <w:basedOn w:val="Normal"/>
    <w:uiPriority w:val="1"/>
    <w:qFormat/>
    <w:rsid w:val="00BD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9FF18D63449F38EF834228DC3F6AB"/>
        <w:category>
          <w:name w:val="General"/>
          <w:gallery w:val="placeholder"/>
        </w:category>
        <w:types>
          <w:type w:val="bbPlcHdr"/>
        </w:types>
        <w:behaviors>
          <w:behavior w:val="content"/>
        </w:behaviors>
        <w:guid w:val="{E51F0EA2-4103-45E0-9666-CA89EFD561DE}"/>
      </w:docPartPr>
      <w:docPartBody>
        <w:p w:rsidR="00E40337" w:rsidRDefault="00BC1A81" w:rsidP="00BC1A81">
          <w:pPr>
            <w:pStyle w:val="D009FF18D63449F38EF834228DC3F6AB"/>
          </w:pPr>
          <w:r w:rsidRPr="00092341">
            <w:rPr>
              <w:rStyle w:val="PlaceholderText"/>
            </w:rPr>
            <w:t>Choose an item.</w:t>
          </w:r>
        </w:p>
      </w:docPartBody>
    </w:docPart>
    <w:docPart>
      <w:docPartPr>
        <w:name w:val="712BCF00AFE4403FA02BBDC801656C5D"/>
        <w:category>
          <w:name w:val="General"/>
          <w:gallery w:val="placeholder"/>
        </w:category>
        <w:types>
          <w:type w:val="bbPlcHdr"/>
        </w:types>
        <w:behaviors>
          <w:behavior w:val="content"/>
        </w:behaviors>
        <w:guid w:val="{0D69286B-342D-4056-BA37-AF668A9460AC}"/>
      </w:docPartPr>
      <w:docPartBody>
        <w:p w:rsidR="00E40337" w:rsidRDefault="00BC1A81" w:rsidP="00BC1A81">
          <w:pPr>
            <w:pStyle w:val="712BCF00AFE4403FA02BBDC801656C5D"/>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1A81"/>
    <w:rsid w:val="007665F4"/>
    <w:rsid w:val="00BC1A81"/>
    <w:rsid w:val="00E40337"/>
    <w:rsid w:val="00FC1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5F4"/>
    <w:rPr>
      <w:color w:val="808080"/>
    </w:rPr>
  </w:style>
  <w:style w:type="paragraph" w:customStyle="1" w:styleId="D009FF18D63449F38EF834228DC3F6AB">
    <w:name w:val="D009FF18D63449F38EF834228DC3F6AB"/>
    <w:rsid w:val="00BC1A81"/>
  </w:style>
  <w:style w:type="paragraph" w:customStyle="1" w:styleId="712BCF00AFE4403FA02BBDC801656C5D">
    <w:name w:val="712BCF00AFE4403FA02BBDC801656C5D"/>
    <w:rsid w:val="00BC1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5F87-75E3-4D0F-99C8-E55E6519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Otten, Cathy</cp:lastModifiedBy>
  <cp:revision>3</cp:revision>
  <cp:lastPrinted>2019-05-01T03:10:00Z</cp:lastPrinted>
  <dcterms:created xsi:type="dcterms:W3CDTF">2019-05-01T05:03:00Z</dcterms:created>
  <dcterms:modified xsi:type="dcterms:W3CDTF">2019-05-01T05:25:00Z</dcterms:modified>
</cp:coreProperties>
</file>